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b/>
          <w:sz w:val="32"/>
          <w:szCs w:val="32"/>
        </w:rPr>
      </w:pPr>
    </w:p>
    <w:p>
      <w:pPr>
        <w:jc w:val="center"/>
        <w:rPr>
          <w:rFonts w:hint="default" w:eastAsia="黑体"/>
          <w:sz w:val="44"/>
          <w:szCs w:val="20"/>
        </w:rPr>
      </w:pPr>
      <w:r>
        <w:rPr>
          <w:rFonts w:hint="eastAsia" w:eastAsia="黑体"/>
          <w:sz w:val="44"/>
          <w:szCs w:val="20"/>
        </w:rPr>
        <w:t>宁</w:t>
      </w:r>
      <w:r>
        <w:rPr>
          <w:rFonts w:hint="default" w:eastAsia="黑体"/>
          <w:sz w:val="44"/>
          <w:szCs w:val="20"/>
        </w:rPr>
        <w:t xml:space="preserve"> </w:t>
      </w:r>
      <w:r>
        <w:rPr>
          <w:rFonts w:hint="eastAsia" w:eastAsia="黑体"/>
          <w:sz w:val="44"/>
          <w:szCs w:val="20"/>
        </w:rPr>
        <w:t>波</w:t>
      </w:r>
      <w:r>
        <w:rPr>
          <w:rFonts w:hint="default" w:eastAsia="黑体"/>
          <w:sz w:val="44"/>
          <w:szCs w:val="20"/>
        </w:rPr>
        <w:t xml:space="preserve"> </w:t>
      </w:r>
      <w:r>
        <w:rPr>
          <w:rFonts w:hint="eastAsia" w:eastAsia="黑体"/>
          <w:sz w:val="44"/>
          <w:szCs w:val="20"/>
        </w:rPr>
        <w:t>仲</w:t>
      </w:r>
      <w:r>
        <w:rPr>
          <w:rFonts w:hint="default" w:eastAsia="黑体"/>
          <w:sz w:val="44"/>
          <w:szCs w:val="20"/>
        </w:rPr>
        <w:t xml:space="preserve"> </w:t>
      </w:r>
      <w:r>
        <w:rPr>
          <w:rFonts w:hint="eastAsia" w:eastAsia="黑体"/>
          <w:sz w:val="44"/>
          <w:szCs w:val="20"/>
        </w:rPr>
        <w:t>裁</w:t>
      </w:r>
      <w:r>
        <w:rPr>
          <w:rFonts w:hint="default" w:eastAsia="黑体"/>
          <w:sz w:val="44"/>
          <w:szCs w:val="20"/>
        </w:rPr>
        <w:t xml:space="preserve"> </w:t>
      </w:r>
      <w:r>
        <w:rPr>
          <w:rFonts w:hint="eastAsia" w:eastAsia="黑体"/>
          <w:sz w:val="44"/>
          <w:szCs w:val="20"/>
        </w:rPr>
        <w:t>委</w:t>
      </w:r>
      <w:r>
        <w:rPr>
          <w:rFonts w:hint="default" w:eastAsia="黑体"/>
          <w:sz w:val="44"/>
          <w:szCs w:val="20"/>
        </w:rPr>
        <w:t xml:space="preserve"> </w:t>
      </w:r>
      <w:r>
        <w:rPr>
          <w:rFonts w:hint="eastAsia" w:eastAsia="黑体"/>
          <w:sz w:val="44"/>
          <w:szCs w:val="20"/>
        </w:rPr>
        <w:t>员</w:t>
      </w:r>
      <w:r>
        <w:rPr>
          <w:rFonts w:hint="default" w:eastAsia="黑体"/>
          <w:sz w:val="44"/>
          <w:szCs w:val="20"/>
        </w:rPr>
        <w:t xml:space="preserve"> </w:t>
      </w:r>
      <w:r>
        <w:rPr>
          <w:rFonts w:hint="eastAsia" w:eastAsia="黑体"/>
          <w:sz w:val="44"/>
          <w:szCs w:val="20"/>
        </w:rPr>
        <w:t>会</w:t>
      </w:r>
      <w:r>
        <w:rPr>
          <w:rFonts w:hint="default" w:eastAsia="黑体"/>
          <w:sz w:val="44"/>
          <w:szCs w:val="20"/>
        </w:rPr>
        <w:t xml:space="preserve">    </w:t>
      </w:r>
    </w:p>
    <w:p>
      <w:pPr>
        <w:jc w:val="center"/>
        <w:rPr>
          <w:rFonts w:hint="default" w:eastAsia="黑体"/>
          <w:sz w:val="44"/>
          <w:szCs w:val="20"/>
        </w:rPr>
      </w:pPr>
      <w:r>
        <w:rPr>
          <w:rFonts w:hint="eastAsia" w:eastAsia="黑体"/>
          <w:sz w:val="44"/>
          <w:szCs w:val="20"/>
        </w:rPr>
        <w:t>仲裁员选定书</w:t>
      </w:r>
    </w:p>
    <w:p>
      <w:pPr>
        <w:jc w:val="center"/>
        <w:rPr>
          <w:rFonts w:hint="default" w:eastAsia="黑体"/>
          <w:sz w:val="44"/>
          <w:szCs w:val="20"/>
        </w:rPr>
      </w:pPr>
      <w:r>
        <w:rPr>
          <w:rFonts w:hint="eastAsia" w:eastAsia="黑体"/>
          <w:sz w:val="44"/>
          <w:szCs w:val="20"/>
        </w:rPr>
        <w:t>（</w:t>
      </w:r>
      <w:bookmarkStart w:id="0" w:name="_GoBack"/>
      <w:r>
        <w:rPr>
          <w:rFonts w:hint="eastAsia" w:ascii="黑体" w:hAnsi="黑体" w:eastAsia="黑体" w:cs="黑体"/>
          <w:sz w:val="44"/>
          <w:szCs w:val="44"/>
          <w:lang w:eastAsia="zh-CN"/>
        </w:rPr>
        <w:t>普通程序</w:t>
      </w:r>
      <w:bookmarkEnd w:id="0"/>
      <w:r>
        <w:rPr>
          <w:rFonts w:hint="eastAsia" w:eastAsia="黑体"/>
          <w:sz w:val="44"/>
          <w:szCs w:val="20"/>
        </w:rPr>
        <w:t>）</w:t>
      </w:r>
    </w:p>
    <w:p>
      <w:pPr>
        <w:spacing w:line="500" w:lineRule="exact"/>
        <w:rPr>
          <w:rFonts w:hint="default"/>
          <w:sz w:val="24"/>
          <w:szCs w:val="20"/>
        </w:rPr>
      </w:pPr>
    </w:p>
    <w:p>
      <w:pPr>
        <w:spacing w:line="560" w:lineRule="exact"/>
        <w:rPr>
          <w:rFonts w:hint="eastAsia" w:ascii="仿宋" w:hAnsi="仿宋" w:eastAsia="仿宋"/>
          <w:sz w:val="32"/>
          <w:szCs w:val="32"/>
        </w:rPr>
      </w:pPr>
      <w:r>
        <w:rPr>
          <w:rFonts w:hint="eastAsia" w:ascii="仿宋" w:hAnsi="仿宋" w:eastAsia="仿宋"/>
          <w:sz w:val="32"/>
          <w:szCs w:val="32"/>
        </w:rPr>
        <w:t>宁波仲裁委员会:</w:t>
      </w:r>
    </w:p>
    <w:p>
      <w:pPr>
        <w:spacing w:line="560" w:lineRule="exact"/>
        <w:ind w:firstLine="570"/>
        <w:rPr>
          <w:rFonts w:hint="eastAsia" w:ascii="仿宋" w:hAnsi="仿宋" w:eastAsia="仿宋"/>
          <w:sz w:val="32"/>
          <w:szCs w:val="32"/>
        </w:rPr>
      </w:pPr>
      <w:r>
        <w:rPr>
          <w:rFonts w:hint="eastAsia" w:ascii="仿宋" w:hAnsi="仿宋" w:eastAsia="仿宋"/>
          <w:sz w:val="32"/>
          <w:szCs w:val="32"/>
        </w:rPr>
        <w:t>贵委受理的</w:t>
      </w:r>
      <w:r>
        <w:rPr>
          <w:rFonts w:hint="eastAsia" w:ascii="仿宋" w:hAnsi="仿宋" w:eastAsia="仿宋"/>
          <w:sz w:val="32"/>
          <w:szCs w:val="32"/>
          <w:lang w:eastAsia="zh-CN"/>
        </w:rPr>
        <w:t>(</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)甬仲字第</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号</w:t>
      </w:r>
      <w:r>
        <w:rPr>
          <w:rFonts w:hint="eastAsia" w:ascii="仿宋" w:hAnsi="仿宋" w:eastAsia="仿宋"/>
          <w:sz w:val="32"/>
          <w:szCs w:val="32"/>
        </w:rPr>
        <w:t>仲裁案件，根据20</w:t>
      </w:r>
      <w:r>
        <w:rPr>
          <w:rFonts w:hint="eastAsia" w:ascii="仿宋" w:hAnsi="仿宋" w:eastAsia="仿宋"/>
          <w:sz w:val="32"/>
          <w:szCs w:val="32"/>
          <w:lang w:val="en-US" w:eastAsia="zh-CN"/>
        </w:rPr>
        <w:t>2</w:t>
      </w:r>
      <w:r>
        <w:rPr>
          <w:rFonts w:hint="eastAsia" w:ascii="仿宋" w:hAnsi="仿宋" w:eastAsia="仿宋"/>
          <w:sz w:val="32"/>
          <w:szCs w:val="32"/>
        </w:rPr>
        <w:t>5年</w:t>
      </w:r>
      <w:r>
        <w:rPr>
          <w:rFonts w:hint="eastAsia" w:ascii="仿宋" w:hAnsi="仿宋" w:eastAsia="仿宋"/>
          <w:sz w:val="32"/>
          <w:szCs w:val="32"/>
          <w:lang w:val="en-US" w:eastAsia="zh-CN"/>
        </w:rPr>
        <w:t>1</w:t>
      </w:r>
      <w:r>
        <w:rPr>
          <w:rFonts w:hint="eastAsia" w:ascii="仿宋" w:hAnsi="仿宋" w:eastAsia="仿宋"/>
          <w:sz w:val="32"/>
          <w:szCs w:val="32"/>
        </w:rPr>
        <w:t>1月1</w:t>
      </w:r>
      <w:r>
        <w:rPr>
          <w:rFonts w:hint="eastAsia" w:ascii="仿宋" w:hAnsi="仿宋" w:eastAsia="仿宋"/>
          <w:sz w:val="32"/>
          <w:szCs w:val="32"/>
          <w:lang w:val="en-US" w:eastAsia="zh-CN"/>
        </w:rPr>
        <w:t>2</w:t>
      </w:r>
      <w:r>
        <w:rPr>
          <w:rFonts w:hint="eastAsia" w:ascii="仿宋" w:hAnsi="仿宋" w:eastAsia="仿宋"/>
          <w:sz w:val="32"/>
          <w:szCs w:val="32"/>
        </w:rPr>
        <w:t>日起施行的《宁波仲裁委员会仲裁规则》的规定：</w:t>
      </w:r>
    </w:p>
    <w:p>
      <w:pPr>
        <w:spacing w:line="560" w:lineRule="exact"/>
        <w:ind w:firstLine="645"/>
        <w:rPr>
          <w:rFonts w:hint="eastAsia" w:ascii="仿宋" w:hAnsi="仿宋" w:eastAsia="仿宋"/>
          <w:sz w:val="32"/>
          <w:szCs w:val="32"/>
        </w:rPr>
      </w:pPr>
      <w:r>
        <w:rPr>
          <w:rFonts w:hint="eastAsia" w:ascii="仿宋" w:hAnsi="仿宋" w:eastAsia="仿宋"/>
          <w:sz w:val="32"/>
          <w:szCs w:val="32"/>
        </w:rPr>
        <w:t>一、（  ）我方（</w:t>
      </w:r>
      <w:r>
        <w:rPr>
          <w:rFonts w:hint="eastAsia" w:ascii="仿宋" w:hAnsi="仿宋" w:eastAsia="仿宋"/>
          <w:sz w:val="32"/>
          <w:szCs w:val="32"/>
          <w:lang w:eastAsia="zh-CN"/>
        </w:rPr>
        <w:t>仲裁被申请人</w:t>
      </w:r>
      <w:r>
        <w:rPr>
          <w:rFonts w:hint="eastAsia" w:ascii="仿宋" w:hAnsi="仿宋" w:eastAsia="仿宋"/>
          <w:sz w:val="32"/>
          <w:szCs w:val="32"/>
        </w:rPr>
        <w:t>）在《宁波仲裁委员会仲裁员名册》中选定______为仲裁员。</w:t>
      </w:r>
    </w:p>
    <w:p>
      <w:pPr>
        <w:spacing w:line="560" w:lineRule="exact"/>
        <w:ind w:firstLine="645"/>
        <w:rPr>
          <w:rFonts w:hint="eastAsia" w:ascii="仿宋" w:hAnsi="仿宋" w:eastAsia="仿宋"/>
          <w:sz w:val="32"/>
          <w:szCs w:val="32"/>
        </w:rPr>
      </w:pPr>
      <w:r>
        <w:rPr>
          <w:rFonts w:hint="eastAsia" w:ascii="仿宋" w:hAnsi="仿宋" w:eastAsia="仿宋"/>
          <w:sz w:val="32"/>
          <w:szCs w:val="32"/>
        </w:rPr>
        <w:t xml:space="preserve">   （  ）我方委托贵委主任指定仲裁员。</w:t>
      </w:r>
    </w:p>
    <w:p>
      <w:pPr>
        <w:spacing w:line="560" w:lineRule="exact"/>
        <w:ind w:firstLine="645"/>
        <w:rPr>
          <w:rFonts w:hint="eastAsia" w:ascii="仿宋" w:hAnsi="仿宋" w:eastAsia="仿宋"/>
          <w:sz w:val="32"/>
          <w:szCs w:val="32"/>
        </w:rPr>
      </w:pPr>
      <w:r>
        <w:rPr>
          <w:rFonts w:hint="eastAsia" w:ascii="仿宋" w:hAnsi="仿宋" w:eastAsia="仿宋"/>
          <w:sz w:val="32"/>
          <w:szCs w:val="32"/>
        </w:rPr>
        <w:t>二、（  ）我方选定1.____________；2.___________；3._____________；4._______________；5._____________为首席仲裁员。</w:t>
      </w:r>
    </w:p>
    <w:p>
      <w:pPr>
        <w:spacing w:line="560" w:lineRule="exact"/>
        <w:ind w:firstLine="645"/>
        <w:rPr>
          <w:rFonts w:hint="eastAsia" w:ascii="仿宋" w:hAnsi="仿宋" w:eastAsia="仿宋"/>
          <w:sz w:val="32"/>
          <w:szCs w:val="32"/>
        </w:rPr>
      </w:pPr>
      <w:r>
        <w:rPr>
          <w:rFonts w:hint="eastAsia" w:ascii="仿宋" w:hAnsi="仿宋" w:eastAsia="仿宋"/>
          <w:sz w:val="32"/>
          <w:szCs w:val="32"/>
        </w:rPr>
        <w:t xml:space="preserve">   （  ）我方委托贵委主任指定首席仲裁员。</w:t>
      </w:r>
    </w:p>
    <w:p>
      <w:pPr>
        <w:spacing w:line="560" w:lineRule="exact"/>
        <w:ind w:firstLine="570"/>
        <w:rPr>
          <w:rFonts w:hint="eastAsia" w:ascii="仿宋" w:hAnsi="仿宋" w:eastAsia="仿宋"/>
          <w:sz w:val="32"/>
          <w:szCs w:val="32"/>
        </w:rPr>
      </w:pPr>
    </w:p>
    <w:p>
      <w:pPr>
        <w:spacing w:line="560" w:lineRule="exact"/>
        <w:ind w:firstLine="570"/>
        <w:jc w:val="right"/>
        <w:rPr>
          <w:rFonts w:hint="eastAsia"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被申请人</w:t>
      </w:r>
      <w:r>
        <w:rPr>
          <w:rFonts w:hint="eastAsia" w:ascii="仿宋" w:hAnsi="仿宋" w:eastAsia="仿宋"/>
          <w:sz w:val="32"/>
          <w:szCs w:val="32"/>
        </w:rPr>
        <w:t>签名或盖章</w:t>
      </w:r>
    </w:p>
    <w:p>
      <w:pPr>
        <w:spacing w:line="560" w:lineRule="exact"/>
        <w:ind w:firstLine="570"/>
        <w:jc w:val="right"/>
        <w:rPr>
          <w:rFonts w:hint="eastAsia" w:ascii="仿宋" w:hAnsi="仿宋" w:eastAsia="仿宋"/>
          <w:sz w:val="32"/>
          <w:szCs w:val="32"/>
        </w:rPr>
      </w:pPr>
      <w:r>
        <w:rPr>
          <w:rFonts w:hint="eastAsia" w:ascii="仿宋" w:hAnsi="仿宋" w:eastAsia="仿宋"/>
          <w:sz w:val="32"/>
          <w:szCs w:val="32"/>
        </w:rPr>
        <w:t xml:space="preserve">                               年    月    日</w:t>
      </w:r>
    </w:p>
    <w:p>
      <w:pPr>
        <w:pStyle w:val="2"/>
        <w:spacing w:line="440" w:lineRule="exact"/>
        <w:ind w:firstLine="0"/>
        <w:rPr>
          <w:rFonts w:hint="eastAsia"/>
          <w:sz w:val="24"/>
          <w:szCs w:val="20"/>
        </w:rPr>
      </w:pPr>
    </w:p>
    <w:p>
      <w:pPr>
        <w:spacing w:line="240" w:lineRule="atLeast"/>
        <w:rPr>
          <w:rFonts w:hint="eastAsia" w:ascii="仿宋" w:hAnsi="仿宋" w:eastAsia="仿宋"/>
          <w:sz w:val="24"/>
          <w:szCs w:val="24"/>
        </w:rPr>
      </w:pPr>
      <w:r>
        <w:rPr>
          <w:rFonts w:hint="eastAsia" w:ascii="仿宋" w:hAnsi="仿宋" w:eastAsia="仿宋"/>
          <w:sz w:val="24"/>
          <w:szCs w:val="24"/>
        </w:rPr>
        <w:t>注： 1、除非双方当事人另有约定，凡案件争议金额超过</w:t>
      </w:r>
      <w:r>
        <w:rPr>
          <w:rFonts w:hint="eastAsia" w:ascii="仿宋" w:hAnsi="仿宋" w:eastAsia="仿宋"/>
          <w:sz w:val="24"/>
          <w:szCs w:val="24"/>
          <w:lang w:val="en-US" w:eastAsia="zh-CN"/>
        </w:rPr>
        <w:t>100</w:t>
      </w:r>
      <w:r>
        <w:rPr>
          <w:rFonts w:hint="eastAsia" w:ascii="仿宋" w:hAnsi="仿宋" w:eastAsia="仿宋"/>
          <w:sz w:val="24"/>
          <w:szCs w:val="24"/>
        </w:rPr>
        <w:t>万元人民币的，适用普通程序，由三名仲裁员共同审理。</w:t>
      </w:r>
    </w:p>
    <w:p>
      <w:pPr>
        <w:spacing w:line="240" w:lineRule="atLeast"/>
        <w:ind w:firstLine="480"/>
        <w:rPr>
          <w:rFonts w:hint="eastAsia" w:ascii="仿宋" w:hAnsi="仿宋" w:eastAsia="仿宋"/>
          <w:sz w:val="24"/>
          <w:szCs w:val="24"/>
        </w:rPr>
      </w:pPr>
      <w:r>
        <w:rPr>
          <w:rFonts w:hint="eastAsia" w:ascii="仿宋" w:hAnsi="仿宋" w:eastAsia="仿宋"/>
          <w:sz w:val="24"/>
          <w:szCs w:val="24"/>
        </w:rPr>
        <w:t>2.上述一、二两项中自行选定仲裁员和委托仲裁委员会主任指定仲裁员两种方式当事人只能选择其中一种，请在相应的选择项前的括号内打“√”确认。</w:t>
      </w:r>
    </w:p>
    <w:p>
      <w:pPr>
        <w:spacing w:line="240" w:lineRule="atLeast"/>
        <w:ind w:firstLine="480"/>
      </w:pPr>
      <w:r>
        <w:rPr>
          <w:rFonts w:hint="eastAsia" w:ascii="仿宋" w:hAnsi="仿宋" w:eastAsia="仿宋"/>
          <w:sz w:val="24"/>
          <w:szCs w:val="24"/>
        </w:rPr>
        <w:t>3．仲裁员只能选1名；首席仲裁员可以选1-5名，与对方共同选定一名仲裁员的，其为首席仲裁员，如有2个或2个以上仲裁员选定一致，由主任在一致选定的仲裁员中指定1名，未选定一致的，由主任指定首席仲裁员。</w:t>
      </w:r>
    </w:p>
    <w:sectPr>
      <w:pgSz w:w="11907" w:h="16839"/>
      <w:pgMar w:top="1474" w:right="1871" w:bottom="1474" w:left="1871" w:header="851" w:footer="992" w:gutter="0"/>
      <w:lnNumType w:countBy="0" w:distance="36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mNmRjZGJkNTVlYmI3YTczNWYzODgwYzVlZmI4YWUifQ=="/>
  </w:docVars>
  <w:rsids>
    <w:rsidRoot w:val="2EE717AF"/>
    <w:rsid w:val="2EE717AF"/>
    <w:rsid w:val="58E91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hint="eastAsia" w:ascii="Times New Roman" w:hAnsi="Times New Roman" w:eastAsia="宋体" w:cs="Times New Roman"/>
      <w:kern w:val="2"/>
      <w:sz w:val="21"/>
      <w:szCs w:val="20"/>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Indent"/>
    <w:basedOn w:val="1"/>
    <w:unhideWhenUsed/>
    <w:uiPriority w:val="99"/>
    <w:pPr>
      <w:ind w:firstLine="570"/>
    </w:pPr>
    <w:rPr>
      <w:rFonts w:hint="eastAsia" w:ascii="宋体" w:hAnsi="宋体"/>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2026-07-24T01:15:00Z</dcterms:created>
  <dc:creator>Administrator</dc:creator>
  <cp:lastModifiedBy>Administrator</cp:lastModifiedBy>
  <dcterms:modified xsi:type="dcterms:W3CDTF">2026-07-24T01:20:25Z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5CCF089316A144C3AAC5D24CE71808F8_13</vt:lpwstr>
  </property>
</Properties>
</file>