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B4" w:rsidRDefault="00AF1C22">
      <w:pPr>
        <w:pStyle w:val="Char"/>
        <w:jc w:val="center"/>
        <w:rPr>
          <w:rStyle w:val="15"/>
          <w:rFonts w:ascii="黑体" w:eastAsia="黑体" w:hAnsi="宋体"/>
          <w:sz w:val="44"/>
          <w:szCs w:val="44"/>
        </w:rPr>
      </w:pPr>
      <w:r>
        <w:rPr>
          <w:rStyle w:val="15"/>
          <w:rFonts w:ascii="黑体" w:eastAsia="黑体" w:hAnsi="黑体" w:hint="eastAsia"/>
          <w:sz w:val="44"/>
          <w:szCs w:val="44"/>
        </w:rPr>
        <w:t>宁波</w:t>
      </w:r>
      <w:r w:rsidR="00AD1DF9">
        <w:rPr>
          <w:rStyle w:val="15"/>
          <w:rFonts w:ascii="黑体" w:eastAsia="黑体" w:hAnsi="黑体" w:hint="eastAsia"/>
          <w:sz w:val="44"/>
          <w:szCs w:val="44"/>
        </w:rPr>
        <w:t>仲裁委员会办公室</w:t>
      </w:r>
      <w:r>
        <w:rPr>
          <w:rStyle w:val="15"/>
          <w:rFonts w:ascii="黑体" w:eastAsia="黑体" w:hAnsi="宋体" w:hint="eastAsia"/>
          <w:sz w:val="44"/>
          <w:szCs w:val="44"/>
        </w:rPr>
        <w:t>2020年度单位</w:t>
      </w:r>
    </w:p>
    <w:p w:rsidR="004F00B4" w:rsidRDefault="00AF1C22">
      <w:pPr>
        <w:pStyle w:val="Char"/>
        <w:jc w:val="center"/>
      </w:pPr>
      <w:r>
        <w:rPr>
          <w:rStyle w:val="15"/>
          <w:rFonts w:ascii="黑体" w:eastAsia="黑体" w:hAnsi="黑体" w:hint="eastAsia"/>
          <w:sz w:val="44"/>
          <w:szCs w:val="44"/>
        </w:rPr>
        <w:t>决算</w:t>
      </w:r>
    </w:p>
    <w:p w:rsidR="004F00B4" w:rsidRDefault="00AF1C22">
      <w:pPr>
        <w:pStyle w:val="Char"/>
        <w:jc w:val="center"/>
      </w:pPr>
      <w:r>
        <w:rPr>
          <w:rStyle w:val="15"/>
          <w:rFonts w:ascii="等线" w:hAnsi="等线"/>
          <w:sz w:val="22"/>
          <w:szCs w:val="22"/>
        </w:rPr>
        <w:t>目录</w:t>
      </w:r>
    </w:p>
    <w:p w:rsidR="004F00B4" w:rsidRDefault="00AF1C22">
      <w:pPr>
        <w:spacing w:line="600" w:lineRule="atLeast"/>
        <w:ind w:firstLine="640"/>
        <w:jc w:val="both"/>
      </w:pPr>
      <w:r>
        <w:rPr>
          <w:rStyle w:val="15"/>
          <w:rFonts w:ascii="等线" w:hAnsi="等线"/>
          <w:sz w:val="22"/>
          <w:szCs w:val="22"/>
        </w:rPr>
        <w:t>一、概况</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（一）单位职责</w:t>
      </w:r>
      <w:r>
        <w:rPr>
          <w:rStyle w:val="15"/>
          <w:rFonts w:ascii="等线" w:hAnsi="等线" w:cs="Arial"/>
          <w:sz w:val="22"/>
          <w:szCs w:val="22"/>
        </w:rPr>
        <w:t>.................................................................................</w:t>
      </w:r>
      <w:r w:rsidR="004B6BBE" w:rsidRPr="004B6BBE">
        <w:rPr>
          <w:rStyle w:val="15"/>
          <w:rFonts w:ascii="等线" w:hAnsi="等线" w:cs="Arial"/>
          <w:sz w:val="22"/>
          <w:szCs w:val="22"/>
        </w:rPr>
        <w:t xml:space="preserve"> </w:t>
      </w:r>
      <w:r w:rsidR="004B6BBE">
        <w:rPr>
          <w:rStyle w:val="15"/>
          <w:rFonts w:ascii="等线" w:hAnsi="等线" w:cs="Arial"/>
          <w:sz w:val="22"/>
          <w:szCs w:val="22"/>
        </w:rPr>
        <w:t xml:space="preserve">.......... </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（二）机构设置</w:t>
      </w:r>
      <w:r>
        <w:rPr>
          <w:rStyle w:val="15"/>
          <w:rFonts w:ascii="等线" w:hAnsi="等线" w:cs="Arial"/>
          <w:sz w:val="22"/>
          <w:szCs w:val="22"/>
        </w:rPr>
        <w:t xml:space="preserve">...............................................................................................( ) </w:t>
      </w:r>
    </w:p>
    <w:p w:rsidR="004F00B4" w:rsidRDefault="00AF1C22">
      <w:pPr>
        <w:spacing w:line="600" w:lineRule="atLeast"/>
        <w:ind w:firstLine="640"/>
        <w:jc w:val="both"/>
      </w:pPr>
      <w:r>
        <w:rPr>
          <w:rStyle w:val="15"/>
          <w:rFonts w:ascii="等线" w:hAnsi="等线"/>
          <w:sz w:val="22"/>
          <w:szCs w:val="22"/>
        </w:rPr>
        <w:t>二、</w:t>
      </w:r>
      <w:r>
        <w:rPr>
          <w:rStyle w:val="15"/>
          <w:rFonts w:ascii="等线" w:hAnsi="等线" w:cs="Arial"/>
          <w:sz w:val="22"/>
          <w:szCs w:val="22"/>
        </w:rPr>
        <w:t>2020</w:t>
      </w:r>
      <w:r>
        <w:rPr>
          <w:rStyle w:val="15"/>
          <w:rFonts w:ascii="等线" w:hAnsi="等线" w:cs="Arial"/>
          <w:sz w:val="22"/>
          <w:szCs w:val="22"/>
        </w:rPr>
        <w:t>年度单位决算公开表</w:t>
      </w:r>
      <w:r>
        <w:rPr>
          <w:rStyle w:val="15"/>
          <w:rFonts w:ascii="等线" w:hAnsi="等线" w:cs="Arial"/>
          <w:sz w:val="22"/>
          <w:szCs w:val="22"/>
        </w:rPr>
        <w:t>........................................................</w:t>
      </w:r>
      <w:r w:rsidR="004B6BBE" w:rsidRPr="004B6BBE">
        <w:rPr>
          <w:rStyle w:val="15"/>
          <w:rFonts w:ascii="等线" w:hAnsi="等线" w:cs="Arial"/>
          <w:sz w:val="22"/>
          <w:szCs w:val="22"/>
        </w:rPr>
        <w:t xml:space="preserve"> </w:t>
      </w:r>
      <w:r w:rsidR="004B6BBE">
        <w:rPr>
          <w:rStyle w:val="15"/>
          <w:rFonts w:ascii="等线" w:hAnsi="等线" w:cs="Arial"/>
          <w:sz w:val="22"/>
          <w:szCs w:val="22"/>
        </w:rPr>
        <w:t>.......</w:t>
      </w:r>
      <w:r>
        <w:rPr>
          <w:rStyle w:val="15"/>
          <w:rFonts w:ascii="等线" w:hAnsi="等线" w:cs="Arial"/>
          <w:sz w:val="22"/>
          <w:szCs w:val="22"/>
        </w:rPr>
        <w:t>.</w:t>
      </w:r>
      <w:r w:rsidR="004B6BBE" w:rsidRPr="004B6BBE">
        <w:rPr>
          <w:rStyle w:val="15"/>
          <w:rFonts w:ascii="等线" w:hAnsi="等线" w:cs="Arial"/>
          <w:sz w:val="22"/>
          <w:szCs w:val="22"/>
        </w:rPr>
        <w:t xml:space="preserve"> </w:t>
      </w:r>
      <w:r w:rsidR="004B6BBE">
        <w:rPr>
          <w:rStyle w:val="15"/>
          <w:rFonts w:ascii="等线" w:hAnsi="等线" w:cs="Arial"/>
          <w:sz w:val="22"/>
          <w:szCs w:val="22"/>
        </w:rPr>
        <w:t xml:space="preserve">.. </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三、</w:t>
      </w:r>
      <w:r>
        <w:rPr>
          <w:rStyle w:val="15"/>
          <w:rFonts w:ascii="等线" w:hAnsi="等线" w:cs="Arial"/>
          <w:sz w:val="22"/>
          <w:szCs w:val="22"/>
        </w:rPr>
        <w:t>2020</w:t>
      </w:r>
      <w:r>
        <w:rPr>
          <w:rStyle w:val="15"/>
          <w:rFonts w:ascii="等线" w:hAnsi="等线" w:cs="Arial"/>
          <w:sz w:val="22"/>
          <w:szCs w:val="22"/>
        </w:rPr>
        <w:t>年度单位决算情况说明</w:t>
      </w:r>
      <w:r>
        <w:rPr>
          <w:rStyle w:val="15"/>
          <w:rFonts w:ascii="等线" w:hAnsi="等线" w:cs="Arial"/>
          <w:sz w:val="22"/>
          <w:szCs w:val="22"/>
        </w:rPr>
        <w:t>.....................................................</w:t>
      </w:r>
      <w:r w:rsidR="004B6BBE" w:rsidRPr="004B6BBE">
        <w:rPr>
          <w:rStyle w:val="15"/>
          <w:rFonts w:ascii="等线" w:hAnsi="等线" w:cs="Arial"/>
          <w:sz w:val="22"/>
          <w:szCs w:val="22"/>
        </w:rPr>
        <w:t xml:space="preserve"> </w:t>
      </w:r>
      <w:r w:rsidR="004B6BBE">
        <w:rPr>
          <w:rStyle w:val="15"/>
          <w:rFonts w:ascii="等线" w:hAnsi="等线" w:cs="Arial"/>
          <w:sz w:val="22"/>
          <w:szCs w:val="22"/>
        </w:rPr>
        <w:t>.....</w:t>
      </w:r>
      <w:r w:rsidR="004B6BBE" w:rsidRPr="004B6BBE">
        <w:rPr>
          <w:rStyle w:val="15"/>
          <w:rFonts w:ascii="等线" w:hAnsi="等线" w:cs="Arial"/>
          <w:sz w:val="22"/>
          <w:szCs w:val="22"/>
        </w:rPr>
        <w:t xml:space="preserve"> </w:t>
      </w:r>
      <w:r w:rsidR="004B6BBE">
        <w:rPr>
          <w:rStyle w:val="15"/>
          <w:rFonts w:ascii="等线" w:hAnsi="等线" w:cs="Arial"/>
          <w:sz w:val="22"/>
          <w:szCs w:val="22"/>
        </w:rPr>
        <w:t>...</w:t>
      </w:r>
      <w:r>
        <w:rPr>
          <w:rStyle w:val="15"/>
          <w:rFonts w:ascii="等线" w:hAnsi="等线" w:cs="Arial"/>
          <w:sz w:val="22"/>
          <w:szCs w:val="22"/>
        </w:rPr>
        <w:t xml:space="preserve">.( ) </w:t>
      </w:r>
    </w:p>
    <w:p w:rsidR="004F00B4" w:rsidRDefault="00AF1C22">
      <w:pPr>
        <w:spacing w:line="600" w:lineRule="atLeast"/>
        <w:ind w:firstLine="640"/>
        <w:jc w:val="both"/>
      </w:pPr>
      <w:r>
        <w:rPr>
          <w:rStyle w:val="15"/>
          <w:rFonts w:ascii="等线" w:hAnsi="等线"/>
          <w:sz w:val="22"/>
          <w:szCs w:val="22"/>
        </w:rPr>
        <w:t>（一）收入支出决算总体情况说明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（二）收入决算情况说明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（三）支出决算情况说明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（四）财政拨款收入支出决算总体情况说明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（五）一般公共预算财政拨款支出决算情况说明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（六）一般公共预算财政拨款基本支出决算情况说明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（七）政府性基金预算财政拨款支出决算总体情况说明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（八）国有资本经营预算财政拨款支出决算总体情况说明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（九）一般公共预算财政拨款</w:t>
      </w:r>
      <w:r>
        <w:rPr>
          <w:rStyle w:val="15"/>
          <w:rFonts w:ascii="等线" w:hAnsi="等线" w:cs="Arial"/>
          <w:sz w:val="22"/>
          <w:szCs w:val="22"/>
        </w:rPr>
        <w:t>“</w:t>
      </w:r>
      <w:r>
        <w:rPr>
          <w:rStyle w:val="15"/>
          <w:rFonts w:ascii="等线" w:hAnsi="等线" w:cs="Arial"/>
          <w:sz w:val="22"/>
          <w:szCs w:val="22"/>
        </w:rPr>
        <w:t>三公</w:t>
      </w:r>
      <w:r>
        <w:rPr>
          <w:rStyle w:val="15"/>
          <w:rFonts w:ascii="等线" w:hAnsi="等线" w:cs="Arial"/>
          <w:sz w:val="22"/>
          <w:szCs w:val="22"/>
        </w:rPr>
        <w:t>”</w:t>
      </w:r>
      <w:r>
        <w:rPr>
          <w:rStyle w:val="15"/>
          <w:rFonts w:ascii="等线" w:hAnsi="等线" w:cs="Arial"/>
          <w:sz w:val="22"/>
          <w:szCs w:val="22"/>
        </w:rPr>
        <w:t>经费支出决算情况说明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（十）机关运行经费支出说明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（十一）政府采购支出说明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（十二）国有资产占有情况说明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（十三）预算绩效情况说明</w:t>
      </w:r>
      <w:r>
        <w:rPr>
          <w:rStyle w:val="15"/>
          <w:rFonts w:ascii="等线" w:hAnsi="等线" w:cs="Arial"/>
          <w:sz w:val="22"/>
          <w:szCs w:val="22"/>
        </w:rPr>
        <w:t>.............................................................................( )</w:t>
      </w:r>
    </w:p>
    <w:p w:rsidR="004F00B4" w:rsidRDefault="00AF1C22">
      <w:pPr>
        <w:spacing w:line="600" w:lineRule="atLeast"/>
        <w:ind w:firstLine="640"/>
        <w:jc w:val="both"/>
      </w:pPr>
      <w:r>
        <w:rPr>
          <w:rStyle w:val="15"/>
          <w:rFonts w:ascii="等线" w:hAnsi="等线"/>
          <w:sz w:val="22"/>
          <w:szCs w:val="22"/>
        </w:rPr>
        <w:t>四、名词解释</w:t>
      </w:r>
      <w:r>
        <w:rPr>
          <w:rStyle w:val="15"/>
          <w:rFonts w:ascii="等线" w:hAnsi="等线" w:cs="Arial"/>
          <w:sz w:val="22"/>
          <w:szCs w:val="22"/>
        </w:rPr>
        <w:t>..................................................................................................( )</w:t>
      </w:r>
    </w:p>
    <w:p w:rsidR="00AD1DF9" w:rsidRPr="00AD1DF9" w:rsidRDefault="00AD1DF9" w:rsidP="00AD1DF9">
      <w:pPr>
        <w:spacing w:line="600" w:lineRule="atLeast"/>
        <w:ind w:firstLine="640"/>
        <w:jc w:val="both"/>
        <w:rPr>
          <w:rStyle w:val="15"/>
          <w:rFonts w:ascii="黑体" w:eastAsia="黑体" w:hAnsi="黑体"/>
          <w:sz w:val="32"/>
          <w:szCs w:val="32"/>
        </w:rPr>
      </w:pPr>
      <w:r w:rsidRPr="00AD1DF9">
        <w:rPr>
          <w:rStyle w:val="15"/>
          <w:rFonts w:ascii="黑体" w:eastAsia="黑体" w:hAnsi="黑体" w:hint="eastAsia"/>
          <w:sz w:val="32"/>
          <w:szCs w:val="32"/>
        </w:rPr>
        <w:lastRenderedPageBreak/>
        <w:t>一、概况</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（一）单位职责</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1、负责在本区域推行仲裁法律制度，开展仲裁业务交流与调研。</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2、办理仲裁案件的受理、审查。</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3、负责仲裁案件的程序管理，制作仲裁法律文书并送达。</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4、委托相关机构对涉及仲裁的有争议标的物进行评估、鉴定或审议。</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5、办理当事人向法院申请仲裁案件的财产、证据保全或执行的有关法律手续。</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6、负责仲裁员、仲裁秘书队伍的管理、培训、联络。</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7、承办宁波仲裁委员会日常事务。</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（二）机构设置</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从预算单位构成看，本单位内设：综合处，立案处（民商事调解中心），审理处（金融仲裁院），国际航运仲裁院。</w:t>
      </w:r>
    </w:p>
    <w:p w:rsidR="00AD1DF9" w:rsidRPr="00AD1DF9" w:rsidRDefault="00AD1DF9" w:rsidP="00AD1DF9">
      <w:pPr>
        <w:spacing w:line="600" w:lineRule="atLeast"/>
        <w:ind w:firstLine="640"/>
        <w:jc w:val="both"/>
        <w:rPr>
          <w:rStyle w:val="15"/>
          <w:rFonts w:ascii="黑体" w:eastAsia="黑体" w:hAnsi="黑体"/>
          <w:b w:val="0"/>
          <w:sz w:val="32"/>
          <w:szCs w:val="32"/>
        </w:rPr>
      </w:pPr>
      <w:r w:rsidRPr="00AD1DF9">
        <w:rPr>
          <w:rStyle w:val="15"/>
          <w:rFonts w:ascii="黑体" w:eastAsia="黑体" w:hAnsi="黑体" w:hint="eastAsia"/>
          <w:b w:val="0"/>
          <w:sz w:val="32"/>
          <w:szCs w:val="32"/>
        </w:rPr>
        <w:t>二、</w:t>
      </w:r>
      <w:r w:rsidRPr="00AD1DF9">
        <w:rPr>
          <w:rStyle w:val="15"/>
          <w:rFonts w:ascii="黑体" w:eastAsia="黑体" w:hAnsi="黑体"/>
          <w:b w:val="0"/>
          <w:sz w:val="32"/>
          <w:szCs w:val="32"/>
        </w:rPr>
        <w:t>2020年度单位决算公开表</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详见附表。</w:t>
      </w:r>
    </w:p>
    <w:p w:rsidR="00AD1DF9" w:rsidRPr="00AD1DF9" w:rsidRDefault="00AD1DF9" w:rsidP="00AD1DF9">
      <w:pPr>
        <w:spacing w:line="600" w:lineRule="atLeast"/>
        <w:ind w:firstLine="640"/>
        <w:jc w:val="both"/>
        <w:rPr>
          <w:rStyle w:val="15"/>
          <w:rFonts w:ascii="黑体" w:eastAsia="黑体" w:hAnsi="黑体"/>
          <w:b w:val="0"/>
          <w:sz w:val="32"/>
          <w:szCs w:val="32"/>
        </w:rPr>
      </w:pPr>
      <w:r w:rsidRPr="00AD1DF9">
        <w:rPr>
          <w:rStyle w:val="15"/>
          <w:rFonts w:ascii="黑体" w:eastAsia="黑体" w:hAnsi="黑体" w:hint="eastAsia"/>
          <w:b w:val="0"/>
          <w:sz w:val="32"/>
          <w:szCs w:val="32"/>
        </w:rPr>
        <w:t>三、</w:t>
      </w:r>
      <w:r w:rsidRPr="00AD1DF9">
        <w:rPr>
          <w:rStyle w:val="15"/>
          <w:rFonts w:ascii="黑体" w:eastAsia="黑体" w:hAnsi="黑体"/>
          <w:b w:val="0"/>
          <w:sz w:val="32"/>
          <w:szCs w:val="32"/>
        </w:rPr>
        <w:t>2020年度单位决算情况说明</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（一）收入支出决算总体情况说明</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lastRenderedPageBreak/>
        <w:t>2020年度收入总计2,005.42万元，支出总计2,005.42万元,与2019年度相比，各减少44.17万元，下降2.16%。主要原因是：项目经费及公用经费拨款收入的减少。</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（二）收入决算情况说明</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本年收入合计</w:t>
      </w:r>
      <w:r w:rsidRPr="00AD1DF9">
        <w:rPr>
          <w:rStyle w:val="15"/>
          <w:rFonts w:ascii="仿宋" w:eastAsia="仿宋" w:hAnsi="仿宋"/>
          <w:b w:val="0"/>
          <w:sz w:val="32"/>
          <w:szCs w:val="32"/>
        </w:rPr>
        <w:t>1,960.71万元；包括财政拨款收入595.07万元（其中，一般公共预算595.07万元，政府性基金预算0万元,国有资本经营预算0万元），占收入合计30.35%；上级补助收入0万元，占收入合计0%；事业收入1,341.25万元，占收入合计68.41%；经营收入0万元，占收入合计0%；附属单位上缴收入0万元，占收入合计0%；其他收入24.39万元，占收入合计1.24%。</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（三）支出决算情况说明</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本年支出合计</w:t>
      </w:r>
      <w:r w:rsidRPr="00AD1DF9">
        <w:rPr>
          <w:rStyle w:val="15"/>
          <w:rFonts w:ascii="仿宋" w:eastAsia="仿宋" w:hAnsi="仿宋"/>
          <w:b w:val="0"/>
          <w:sz w:val="32"/>
          <w:szCs w:val="32"/>
        </w:rPr>
        <w:t>1,278.70万元，其中基本支出573.14万元，占44.82%；项目支出705.56万元，占55.18%；上缴上级支出0万元，占0%；经营支出0万元，占0%；对附属单位补助支出0万元，占0%。</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（四）财政拨款收入支出决算总体情况说明</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2020年度财政拨款收入总计595.07万元，支出总计595.07万元，与2019年相比，各减少172.42万元，下降22.47%。主要原因是财政拨款项目经费的减少；财政拨款</w:t>
      </w:r>
      <w:r w:rsidRPr="00AD1DF9">
        <w:rPr>
          <w:rStyle w:val="15"/>
          <w:rFonts w:ascii="仿宋" w:eastAsia="仿宋" w:hAnsi="仿宋"/>
          <w:b w:val="0"/>
          <w:sz w:val="32"/>
          <w:szCs w:val="32"/>
        </w:rPr>
        <w:lastRenderedPageBreak/>
        <w:t>支出年初预算数506.88万元，完成年初预算的117.40%，主要原因是人员经费的追加。</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（五）一般公共预算财政拨款支出决算情况说明</w:t>
      </w:r>
    </w:p>
    <w:p w:rsidR="00AD1DF9" w:rsidRPr="00AD1DF9" w:rsidRDefault="00AD1DF9" w:rsidP="00AD1DF9">
      <w:pPr>
        <w:spacing w:line="600" w:lineRule="atLeast"/>
        <w:ind w:firstLine="640"/>
        <w:jc w:val="both"/>
        <w:rPr>
          <w:rStyle w:val="15"/>
          <w:rFonts w:ascii="仿宋" w:eastAsia="仿宋" w:hAnsi="仿宋"/>
          <w:sz w:val="32"/>
          <w:szCs w:val="32"/>
        </w:rPr>
      </w:pPr>
      <w:r w:rsidRPr="00AD1DF9">
        <w:rPr>
          <w:rStyle w:val="15"/>
          <w:rFonts w:ascii="仿宋" w:eastAsia="仿宋" w:hAnsi="仿宋"/>
          <w:sz w:val="32"/>
          <w:szCs w:val="32"/>
        </w:rPr>
        <w:t>1.一般公共预算财政拨款支出决算总体情况。</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2020年度一般公共预算财政拨款支出595.07万元，占本年支出合计的46.54%。与2019年相比，一般公共预算财政拨款支出减少172.42万元，下降22.47%。主要原因是：财政拨款项目经费的减少。</w:t>
      </w:r>
    </w:p>
    <w:p w:rsidR="00AD1DF9" w:rsidRPr="00AD1DF9" w:rsidRDefault="00AD1DF9" w:rsidP="00AD1DF9">
      <w:pPr>
        <w:spacing w:line="600" w:lineRule="atLeast"/>
        <w:ind w:firstLine="640"/>
        <w:jc w:val="both"/>
        <w:rPr>
          <w:rStyle w:val="15"/>
          <w:rFonts w:ascii="仿宋" w:eastAsia="仿宋" w:hAnsi="仿宋"/>
          <w:sz w:val="32"/>
          <w:szCs w:val="32"/>
        </w:rPr>
      </w:pPr>
      <w:r w:rsidRPr="00AD1DF9">
        <w:rPr>
          <w:rStyle w:val="15"/>
          <w:rFonts w:ascii="仿宋" w:eastAsia="仿宋" w:hAnsi="仿宋"/>
          <w:sz w:val="32"/>
          <w:szCs w:val="32"/>
        </w:rPr>
        <w:t>2.一般公共预算财政拨款支出决算结构情况。</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2020年度一般公共预算财政拨款支出595.07万元，主要用于以下方面：一般公共服务（类）支出21.92万元，占3.68%；国防（类）支出0万元,占0%；公共安全（类）支出417.77万元,占70.20%；教育（类）支出0万元,占0%；科学技术（类）支出0万元,占0%；文化旅游体育与传媒（类）支出0万元,占0%；社会保障和就业（类）支出47.27万元,占7.9</w:t>
      </w:r>
      <w:r w:rsidR="00C47855">
        <w:rPr>
          <w:rStyle w:val="15"/>
          <w:rFonts w:ascii="仿宋" w:eastAsia="仿宋" w:hAnsi="仿宋" w:hint="eastAsia"/>
          <w:b w:val="0"/>
          <w:sz w:val="32"/>
          <w:szCs w:val="32"/>
        </w:rPr>
        <w:t>5</w:t>
      </w:r>
      <w:r w:rsidRPr="00AD1DF9">
        <w:rPr>
          <w:rStyle w:val="15"/>
          <w:rFonts w:ascii="仿宋" w:eastAsia="仿宋" w:hAnsi="仿宋"/>
          <w:b w:val="0"/>
          <w:sz w:val="32"/>
          <w:szCs w:val="32"/>
        </w:rPr>
        <w:t>%；卫生健康（类）支出21.81万元,占3.6</w:t>
      </w:r>
      <w:r w:rsidR="00C47855">
        <w:rPr>
          <w:rStyle w:val="15"/>
          <w:rFonts w:ascii="仿宋" w:eastAsia="仿宋" w:hAnsi="仿宋" w:hint="eastAsia"/>
          <w:b w:val="0"/>
          <w:sz w:val="32"/>
          <w:szCs w:val="32"/>
        </w:rPr>
        <w:t>7</w:t>
      </w:r>
      <w:r w:rsidRPr="00AD1DF9">
        <w:rPr>
          <w:rStyle w:val="15"/>
          <w:rFonts w:ascii="仿宋" w:eastAsia="仿宋" w:hAnsi="仿宋"/>
          <w:b w:val="0"/>
          <w:sz w:val="32"/>
          <w:szCs w:val="32"/>
        </w:rPr>
        <w:t>%；节能环保（类）支出0万元,占0%；城乡社区（类）支出0万元,占0%；农林水（类）支出0万元,占0%；交通运输（类）支出0万元,占0%；资源勘探工业信息等（类）支出0万元,占0%；商业服务业等（类）支出0万元,占0%；金融（类）支出0万元,占0%；援助其他地区（类）支出0万元,占0%；自然资源海洋气象等（类）支出0万元,占0%；</w:t>
      </w:r>
      <w:r w:rsidRPr="00AD1DF9">
        <w:rPr>
          <w:rStyle w:val="15"/>
          <w:rFonts w:ascii="仿宋" w:eastAsia="仿宋" w:hAnsi="仿宋"/>
          <w:b w:val="0"/>
          <w:sz w:val="32"/>
          <w:szCs w:val="32"/>
        </w:rPr>
        <w:lastRenderedPageBreak/>
        <w:t>住房保障（类）支出86.30万元,占14.50%；粮油物资储备（类）支出0万元,占0%；灾害防治及应急管理（类）支出0万元,占0%；其他（类）支出0万元,占0%；债务还本（类）支出0万元,占0%；债务付息（类）支出0万元,占0%。</w:t>
      </w:r>
    </w:p>
    <w:p w:rsidR="00AD1DF9" w:rsidRPr="00AD1DF9" w:rsidRDefault="00AD1DF9" w:rsidP="00AD1DF9">
      <w:pPr>
        <w:spacing w:line="600" w:lineRule="atLeast"/>
        <w:ind w:firstLine="640"/>
        <w:jc w:val="both"/>
        <w:rPr>
          <w:rStyle w:val="15"/>
          <w:rFonts w:ascii="仿宋" w:eastAsia="仿宋" w:hAnsi="仿宋"/>
          <w:sz w:val="32"/>
          <w:szCs w:val="32"/>
        </w:rPr>
      </w:pPr>
      <w:r w:rsidRPr="00AD1DF9">
        <w:rPr>
          <w:rStyle w:val="15"/>
          <w:rFonts w:ascii="仿宋" w:eastAsia="仿宋" w:hAnsi="仿宋"/>
          <w:sz w:val="32"/>
          <w:szCs w:val="32"/>
        </w:rPr>
        <w:t>3.一般公共预算财政拨款支出决算具体情况。</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2020年度一般公共预算财政拨款支出年初预算为506.88万元，支出决算为595.07万元,完成年初预算的117.40%，主要原因是人员经费的追加。其中：</w:t>
      </w:r>
    </w:p>
    <w:p w:rsidR="00AD1DF9" w:rsidRPr="00AD1DF9" w:rsidRDefault="00C04758" w:rsidP="00AD1DF9">
      <w:pPr>
        <w:spacing w:line="600" w:lineRule="atLeast"/>
        <w:ind w:firstLine="640"/>
        <w:jc w:val="both"/>
        <w:rPr>
          <w:rStyle w:val="15"/>
          <w:rFonts w:ascii="仿宋" w:eastAsia="仿宋" w:hAnsi="仿宋"/>
          <w:b w:val="0"/>
          <w:sz w:val="32"/>
          <w:szCs w:val="32"/>
        </w:rPr>
      </w:pPr>
      <w:r>
        <w:rPr>
          <w:rStyle w:val="15"/>
          <w:rFonts w:ascii="仿宋" w:eastAsia="仿宋" w:hAnsi="仿宋" w:hint="eastAsia"/>
          <w:b w:val="0"/>
          <w:sz w:val="32"/>
          <w:szCs w:val="32"/>
        </w:rPr>
        <w:t>一般公共服务</w:t>
      </w:r>
      <w:r w:rsidR="00C51EA2">
        <w:rPr>
          <w:rStyle w:val="15"/>
          <w:rFonts w:ascii="仿宋" w:eastAsia="仿宋" w:hAnsi="仿宋" w:hint="eastAsia"/>
          <w:b w:val="0"/>
          <w:sz w:val="32"/>
          <w:szCs w:val="32"/>
        </w:rPr>
        <w:t>支出(类)</w:t>
      </w:r>
      <w:r w:rsidR="00AD1DF9" w:rsidRPr="00AD1DF9">
        <w:rPr>
          <w:rStyle w:val="15"/>
          <w:rFonts w:ascii="仿宋" w:eastAsia="仿宋" w:hAnsi="仿宋" w:hint="eastAsia"/>
          <w:b w:val="0"/>
          <w:sz w:val="32"/>
          <w:szCs w:val="32"/>
        </w:rPr>
        <w:t>政府办公厅（室）及相关机构事务（款）其他政府办公厅（室）及相关机构事务支出（项）。年初预算为</w:t>
      </w:r>
      <w:r w:rsidR="00AD1DF9" w:rsidRPr="00AD1DF9">
        <w:rPr>
          <w:rStyle w:val="15"/>
          <w:rFonts w:ascii="仿宋" w:eastAsia="仿宋" w:hAnsi="仿宋"/>
          <w:b w:val="0"/>
          <w:sz w:val="32"/>
          <w:szCs w:val="32"/>
        </w:rPr>
        <w:t>22.1万元，支出决算为21.92万元，完成年初预算的99.1</w:t>
      </w:r>
      <w:r w:rsidR="00C47855">
        <w:rPr>
          <w:rStyle w:val="15"/>
          <w:rFonts w:ascii="仿宋" w:eastAsia="仿宋" w:hAnsi="仿宋" w:hint="eastAsia"/>
          <w:b w:val="0"/>
          <w:sz w:val="32"/>
          <w:szCs w:val="32"/>
        </w:rPr>
        <w:t>9</w:t>
      </w:r>
      <w:r w:rsidR="00AD1DF9" w:rsidRPr="00AD1DF9">
        <w:rPr>
          <w:rStyle w:val="15"/>
          <w:rFonts w:ascii="仿宋" w:eastAsia="仿宋" w:hAnsi="仿宋"/>
          <w:b w:val="0"/>
          <w:sz w:val="32"/>
          <w:szCs w:val="32"/>
        </w:rPr>
        <w:t>%，决算小于预算数的主要原因项目采购结余。</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公共安全支出（类）司法（款）事业运行（项）。年初预算为</w:t>
      </w:r>
      <w:r w:rsidRPr="00AD1DF9">
        <w:rPr>
          <w:rStyle w:val="15"/>
          <w:rFonts w:ascii="仿宋" w:eastAsia="仿宋" w:hAnsi="仿宋"/>
          <w:b w:val="0"/>
          <w:sz w:val="32"/>
          <w:szCs w:val="32"/>
        </w:rPr>
        <w:t>349.16万元，支出决算为417.77万元，完成年初预算的119.65%，决算数大于预算数的主要原因人员经费的追加。</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社会保障和就业支出（类）行政事业单位养老支出（款）事业单位离退休（项）。年初预算为</w:t>
      </w:r>
      <w:r w:rsidRPr="00AD1DF9">
        <w:rPr>
          <w:rStyle w:val="15"/>
          <w:rFonts w:ascii="仿宋" w:eastAsia="仿宋" w:hAnsi="仿宋"/>
          <w:b w:val="0"/>
          <w:sz w:val="32"/>
          <w:szCs w:val="32"/>
        </w:rPr>
        <w:t>1.05万元，支出决算为1.3万元，完成年初预算的123.81%，决算数大于预算数的主要原因老干部活动经费的增加。</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lastRenderedPageBreak/>
        <w:t>社会保障和就业支出（类）行政事业单位养老支出（款）机关事业单位基本养老保险缴费支出（项）。年初预算为</w:t>
      </w:r>
      <w:r w:rsidRPr="00AD1DF9">
        <w:rPr>
          <w:rStyle w:val="15"/>
          <w:rFonts w:ascii="仿宋" w:eastAsia="仿宋" w:hAnsi="仿宋"/>
          <w:b w:val="0"/>
          <w:sz w:val="32"/>
          <w:szCs w:val="32"/>
        </w:rPr>
        <w:t>27.29万元，支出决算为30.64万元，完成年初预算的112.27%，决算数大于预算数的主要原因为人员增加及养老保险基数调整。</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社会保障和就业支出（类）行政事业单位养老支出（款）机关事业单位职业年金缴费支出（项）。年初预算为</w:t>
      </w:r>
      <w:r w:rsidRPr="00AD1DF9">
        <w:rPr>
          <w:rStyle w:val="15"/>
          <w:rFonts w:ascii="仿宋" w:eastAsia="仿宋" w:hAnsi="仿宋"/>
          <w:b w:val="0"/>
          <w:sz w:val="32"/>
          <w:szCs w:val="32"/>
        </w:rPr>
        <w:t>13.65万元，支出决算为15.32万元，完成年初预算的112.23%，决算数大于预算数的主要原因人员增加及职业年金基数的调整。</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卫生健康支出（类）行政事业单位医疗（款）事业单位医疗（项）。年初预算为</w:t>
      </w:r>
      <w:r w:rsidRPr="00AD1DF9">
        <w:rPr>
          <w:rStyle w:val="15"/>
          <w:rFonts w:ascii="仿宋" w:eastAsia="仿宋" w:hAnsi="仿宋"/>
          <w:b w:val="0"/>
          <w:sz w:val="32"/>
          <w:szCs w:val="32"/>
        </w:rPr>
        <w:t>15.35万元，支出决算为16.97万元，完成年初预算的110.55%，决算数大于预算数的主要原因人员增加及医疗保险基数的调整。</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卫生健康支出（类）行政事业单位医疗（款）公务员医疗补助（项）。年初预算为</w:t>
      </w:r>
      <w:r w:rsidRPr="00AD1DF9">
        <w:rPr>
          <w:rStyle w:val="15"/>
          <w:rFonts w:ascii="仿宋" w:eastAsia="仿宋" w:hAnsi="仿宋"/>
          <w:b w:val="0"/>
          <w:sz w:val="32"/>
          <w:szCs w:val="32"/>
        </w:rPr>
        <w:t>5.12万元，支出决算为4.84万元，完成年初预算的94.53%，决算数小于预算数的主要原因公务员医疗补助调整。</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住房保障支出（类）住房改革支出（款）住房公积金（项）。年初预算为</w:t>
      </w:r>
      <w:r w:rsidRPr="00AD1DF9">
        <w:rPr>
          <w:rStyle w:val="15"/>
          <w:rFonts w:ascii="仿宋" w:eastAsia="仿宋" w:hAnsi="仿宋"/>
          <w:b w:val="0"/>
          <w:sz w:val="32"/>
          <w:szCs w:val="32"/>
        </w:rPr>
        <w:t>72.34万元，支出决算为85.37万元，完成年初预算的118.01%，决算数大于（或小于）预算数的主要原因为人员增加及住房公积金基数调整。</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lastRenderedPageBreak/>
        <w:t>住房保障支出（类）住房改革支出（款）提租补贴（项）。年初预算为</w:t>
      </w:r>
      <w:r w:rsidRPr="00AD1DF9">
        <w:rPr>
          <w:rStyle w:val="15"/>
          <w:rFonts w:ascii="仿宋" w:eastAsia="仿宋" w:hAnsi="仿宋"/>
          <w:b w:val="0"/>
          <w:sz w:val="32"/>
          <w:szCs w:val="32"/>
        </w:rPr>
        <w:t>0.82万元，支出决算为0.93万元，完成年初预算的113.41%，决算数大于预算数的主要原因为人员增加。</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（六）一般公共预算财政拨款基本支出决算情况说明</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 xml:space="preserve">2020年度一般公共预算财政拨款基本支出573.14万元，其中： </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人员经费</w:t>
      </w:r>
      <w:r w:rsidRPr="00AD1DF9">
        <w:rPr>
          <w:rStyle w:val="15"/>
          <w:rFonts w:ascii="仿宋" w:eastAsia="仿宋" w:hAnsi="仿宋"/>
          <w:b w:val="0"/>
          <w:sz w:val="32"/>
          <w:szCs w:val="32"/>
        </w:rPr>
        <w:t>531.99万元，主要包括：基本工资、津贴补贴、奖金、绩效工资、机关事业单位基本养老保险缴费、职业年金缴费、职工基本医疗保险缴费、公务员医疗补助缴费、其他社会保障缴费、住房公积金、其他工资福利支出、医疗费补助、其他对个人和家庭的补助。。</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公用经费</w:t>
      </w:r>
      <w:r w:rsidRPr="00AD1DF9">
        <w:rPr>
          <w:rStyle w:val="15"/>
          <w:rFonts w:ascii="仿宋" w:eastAsia="仿宋" w:hAnsi="仿宋"/>
          <w:b w:val="0"/>
          <w:sz w:val="32"/>
          <w:szCs w:val="32"/>
        </w:rPr>
        <w:t>41.15万元，主要包括：办公费、印刷费、物业管理费、维修（护）费、培训费、委托业务费、工会经费、福利费、其他交通费用、其他商品和服务支出、办公设备购置。</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（七）政府性基金预算财政拨款支出决算总体情况</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本单位</w:t>
      </w:r>
      <w:r w:rsidRPr="00AD1DF9">
        <w:rPr>
          <w:rStyle w:val="15"/>
          <w:rFonts w:ascii="仿宋" w:eastAsia="仿宋" w:hAnsi="仿宋"/>
          <w:b w:val="0"/>
          <w:sz w:val="32"/>
          <w:szCs w:val="32"/>
        </w:rPr>
        <w:t>2020年度无政府性基金预算财政拨款收支安排，故无相关数据。</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（八）国有资本经营预算财政拨款支出决算总体情况</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本单位</w:t>
      </w:r>
      <w:r w:rsidRPr="00AD1DF9">
        <w:rPr>
          <w:rStyle w:val="15"/>
          <w:rFonts w:ascii="仿宋" w:eastAsia="仿宋" w:hAnsi="仿宋"/>
          <w:b w:val="0"/>
          <w:sz w:val="32"/>
          <w:szCs w:val="32"/>
        </w:rPr>
        <w:t>2020年度无国有资本经营预算财政拨款收支安排，故无相关数据。</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lastRenderedPageBreak/>
        <w:t>（九）一般公共预算财政拨款“三公”经费支出决算</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本单位</w:t>
      </w:r>
      <w:r w:rsidRPr="00AD1DF9">
        <w:rPr>
          <w:rStyle w:val="15"/>
          <w:rFonts w:ascii="仿宋" w:eastAsia="仿宋" w:hAnsi="仿宋"/>
          <w:b w:val="0"/>
          <w:sz w:val="32"/>
          <w:szCs w:val="32"/>
        </w:rPr>
        <w:t>2020年度无财政拨款“三公”经费收支安排，故无相关数据</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（十）机关运行经费支出说明</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本单位为非行政参公单位，故无相关数据</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（十一）政府采购支出说明</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2020年度政府采购支出总额7.36万元，其中：政府采购货物支出7.36万元、政府采购工程支出0万元、政府采购服务支出0万元。授予中小企业合同金额7.36万元，占政府采购支出总额的100.00%。其中，授予小微企业合同金额0万元，占政府采购支出总额的0%。</w:t>
      </w:r>
    </w:p>
    <w:p w:rsidR="00AD1DF9" w:rsidRP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（十二）国有资产占有情况说明</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hint="eastAsia"/>
          <w:b w:val="0"/>
          <w:sz w:val="32"/>
          <w:szCs w:val="32"/>
        </w:rPr>
        <w:t>截至</w:t>
      </w:r>
      <w:r w:rsidRPr="00AD1DF9">
        <w:rPr>
          <w:rStyle w:val="15"/>
          <w:rFonts w:ascii="仿宋" w:eastAsia="仿宋" w:hAnsi="仿宋"/>
          <w:b w:val="0"/>
          <w:sz w:val="32"/>
          <w:szCs w:val="32"/>
        </w:rPr>
        <w:t>2020年12月31日，我单位共有车辆1辆，其中，副部（省）级及以上领导用车0辆、主要领导干部用车0辆、机要通信用车0辆、应急保障用车0辆、执法执勤用车0辆、特种专业技术用车0辆、离退休干部用车0辆、其他用车1辆,其他用车主要是</w:t>
      </w:r>
      <w:r w:rsidR="003A46BE">
        <w:rPr>
          <w:rStyle w:val="15"/>
          <w:rFonts w:ascii="仿宋" w:eastAsia="仿宋" w:hAnsi="仿宋" w:hint="eastAsia"/>
          <w:b w:val="0"/>
          <w:sz w:val="32"/>
          <w:szCs w:val="32"/>
        </w:rPr>
        <w:t>业务保障用车</w:t>
      </w:r>
      <w:r w:rsidRPr="00AD1DF9">
        <w:rPr>
          <w:rStyle w:val="15"/>
          <w:rFonts w:ascii="仿宋" w:eastAsia="仿宋" w:hAnsi="仿宋"/>
          <w:b w:val="0"/>
          <w:sz w:val="32"/>
          <w:szCs w:val="32"/>
        </w:rPr>
        <w:t xml:space="preserve">；单价50万元以上通用设备0台（套），单价100万元以上专用设备0台（套）。 </w:t>
      </w:r>
    </w:p>
    <w:p w:rsidR="00AD1DF9" w:rsidRDefault="00AD1DF9" w:rsidP="00AD1DF9">
      <w:pPr>
        <w:spacing w:line="600" w:lineRule="atLeast"/>
        <w:ind w:firstLine="640"/>
        <w:jc w:val="both"/>
        <w:rPr>
          <w:rStyle w:val="15"/>
          <w:rFonts w:ascii="楷体" w:eastAsia="楷体" w:hAnsi="楷体"/>
          <w:sz w:val="32"/>
          <w:szCs w:val="32"/>
        </w:rPr>
      </w:pPr>
      <w:r w:rsidRPr="00AD1DF9">
        <w:rPr>
          <w:rStyle w:val="15"/>
          <w:rFonts w:ascii="楷体" w:eastAsia="楷体" w:hAnsi="楷体" w:hint="eastAsia"/>
          <w:sz w:val="32"/>
          <w:szCs w:val="32"/>
        </w:rPr>
        <w:t>（十三）预算绩效情况说明</w:t>
      </w:r>
    </w:p>
    <w:p w:rsidR="00A24465" w:rsidRPr="00A24465" w:rsidRDefault="00A24465" w:rsidP="00AD1DF9">
      <w:pPr>
        <w:spacing w:line="600" w:lineRule="atLeast"/>
        <w:ind w:firstLine="640"/>
        <w:jc w:val="both"/>
        <w:rPr>
          <w:rStyle w:val="15"/>
          <w:rFonts w:ascii="仿宋" w:eastAsia="仿宋" w:hAnsi="仿宋"/>
          <w:b w:val="0"/>
          <w:sz w:val="32"/>
          <w:szCs w:val="32"/>
        </w:rPr>
      </w:pPr>
      <w:r w:rsidRPr="00A24465">
        <w:rPr>
          <w:rStyle w:val="15"/>
          <w:rFonts w:ascii="仿宋" w:eastAsia="仿宋" w:hAnsi="仿宋" w:hint="eastAsia"/>
          <w:b w:val="0"/>
          <w:sz w:val="32"/>
          <w:szCs w:val="32"/>
        </w:rPr>
        <w:t>单位</w:t>
      </w:r>
      <w:r>
        <w:rPr>
          <w:rStyle w:val="15"/>
          <w:rFonts w:ascii="仿宋" w:eastAsia="仿宋" w:hAnsi="仿宋" w:hint="eastAsia"/>
          <w:b w:val="0"/>
          <w:sz w:val="32"/>
          <w:szCs w:val="32"/>
        </w:rPr>
        <w:t>不需自行公开本单位绩效结果，均由部门操作完成</w:t>
      </w:r>
      <w:r w:rsidR="002C0689">
        <w:rPr>
          <w:rStyle w:val="15"/>
          <w:rFonts w:ascii="仿宋" w:eastAsia="仿宋" w:hAnsi="仿宋" w:hint="eastAsia"/>
          <w:b w:val="0"/>
          <w:sz w:val="32"/>
          <w:szCs w:val="32"/>
        </w:rPr>
        <w:t>。</w:t>
      </w:r>
    </w:p>
    <w:p w:rsidR="00AD1DF9" w:rsidRPr="00AD1DF9" w:rsidRDefault="00AD1DF9" w:rsidP="00AD1DF9">
      <w:pPr>
        <w:spacing w:line="600" w:lineRule="atLeast"/>
        <w:ind w:firstLine="640"/>
        <w:jc w:val="both"/>
        <w:rPr>
          <w:rStyle w:val="15"/>
          <w:rFonts w:ascii="黑体" w:eastAsia="黑体" w:hAnsi="黑体"/>
          <w:sz w:val="32"/>
          <w:szCs w:val="32"/>
        </w:rPr>
      </w:pPr>
      <w:r w:rsidRPr="00AD1DF9">
        <w:rPr>
          <w:rStyle w:val="15"/>
          <w:rFonts w:ascii="黑体" w:eastAsia="黑体" w:hAnsi="黑体" w:hint="eastAsia"/>
          <w:sz w:val="32"/>
          <w:szCs w:val="32"/>
        </w:rPr>
        <w:lastRenderedPageBreak/>
        <w:t>四、名词解释</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1.财政拨款收入：指本级财政部门当年拨付的财政预算资金，包括一般公共预算财政拨款、政府性基金预算财政拨款和国有资本经预算财政拨款。</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2.事业收入：指事业单位开展专业业务活动及辅助活动所取得的收入。</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3.经营收入：指事业单位在专业业务活动及辅助活动之外开展非独立核算经营活动取得的收入。</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4.上级补助收入：指事业单位从主管部门和上级单位取得的非财政补助收入。</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5.附属单位上缴收入：指事业单位附属独立核算单位按照有关规定上缴的收入。</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6.其他收入：指预算单位在“财政拨款”、“事业收入”、“经营收入”、“上级补助收入”、“附属单位上缴收入”等之外取得的各项收入。</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7.使用非财政拨款结余：指事业单位使用以前年度积累的非财政拨款结余弥补当年收支差额的金额。</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8.年初结转和结余：指预算单位以前年度尚未完成、结转到本年仍按原规定用途继续使用的资金。</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9.年末结转和结余：指单位按有关规定结转到下年或以后年度继续使用的资金。</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lastRenderedPageBreak/>
        <w:t>10.基本支出：指预算单位为保障其正常运转，完成日常工作任务所发生的支出，包括人员经费支出和日常公用经费支出。</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11.项目支出：指预算单位为完成其特定的行政工作任务或事业发展目标所发生的支出。</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12.上缴上级支出：填列事业单位按照财政部门和主管部门的规定上缴上级单位的支出。</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13.经营支出：指事业单位在专业业务活动及其辅助活动之外开展非独立核算经营活动发生的支出。</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14.附属单位补助支出：填列事业单位用财政补助收入之外的收入对附属单位补助发生的支出。</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15.“三公”经费：纳入财政预决算管理的“三公”经费，是指部门（单位）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lastRenderedPageBreak/>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17.政府办公厅（室）及相关机构事务（款）其他政府办公厅（室）及相关机构事务支出（项）：指反映除上述项目以外的其他政府办公厅（室）及相关机构事务支出。。</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18.</w:t>
      </w:r>
      <w:r w:rsidR="00C51EA2" w:rsidRPr="00C51EA2">
        <w:rPr>
          <w:rStyle w:val="15"/>
          <w:rFonts w:ascii="仿宋" w:eastAsia="仿宋" w:hAnsi="仿宋" w:hint="eastAsia"/>
          <w:b w:val="0"/>
          <w:sz w:val="32"/>
          <w:szCs w:val="32"/>
        </w:rPr>
        <w:t xml:space="preserve"> </w:t>
      </w:r>
      <w:r w:rsidR="00C51EA2" w:rsidRPr="00AD1DF9">
        <w:rPr>
          <w:rStyle w:val="15"/>
          <w:rFonts w:ascii="仿宋" w:eastAsia="仿宋" w:hAnsi="仿宋" w:hint="eastAsia"/>
          <w:b w:val="0"/>
          <w:sz w:val="32"/>
          <w:szCs w:val="32"/>
        </w:rPr>
        <w:t>公共安全支出</w:t>
      </w:r>
      <w:r w:rsidR="00C51EA2">
        <w:rPr>
          <w:rStyle w:val="15"/>
          <w:rFonts w:ascii="仿宋" w:eastAsia="仿宋" w:hAnsi="仿宋" w:hint="eastAsia"/>
          <w:b w:val="0"/>
          <w:sz w:val="32"/>
          <w:szCs w:val="32"/>
        </w:rPr>
        <w:t>(类)</w:t>
      </w:r>
      <w:r w:rsidRPr="00AD1DF9">
        <w:rPr>
          <w:rStyle w:val="15"/>
          <w:rFonts w:ascii="仿宋" w:eastAsia="仿宋" w:hAnsi="仿宋"/>
          <w:b w:val="0"/>
          <w:sz w:val="32"/>
          <w:szCs w:val="32"/>
        </w:rPr>
        <w:t>司法（款）事业运行（项）：指事业单位的基本支出。</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19.</w:t>
      </w:r>
      <w:r w:rsidR="00C51EA2" w:rsidRPr="00C51EA2">
        <w:rPr>
          <w:rStyle w:val="15"/>
          <w:rFonts w:ascii="仿宋" w:eastAsia="仿宋" w:hAnsi="仿宋" w:hint="eastAsia"/>
          <w:b w:val="0"/>
          <w:sz w:val="32"/>
          <w:szCs w:val="32"/>
        </w:rPr>
        <w:t xml:space="preserve"> </w:t>
      </w:r>
      <w:r w:rsidR="00C51EA2" w:rsidRPr="00AD1DF9">
        <w:rPr>
          <w:rStyle w:val="15"/>
          <w:rFonts w:ascii="仿宋" w:eastAsia="仿宋" w:hAnsi="仿宋" w:hint="eastAsia"/>
          <w:b w:val="0"/>
          <w:sz w:val="32"/>
          <w:szCs w:val="32"/>
        </w:rPr>
        <w:t>社会保障和就业支出（类）</w:t>
      </w:r>
      <w:r w:rsidRPr="00AD1DF9">
        <w:rPr>
          <w:rStyle w:val="15"/>
          <w:rFonts w:ascii="仿宋" w:eastAsia="仿宋" w:hAnsi="仿宋"/>
          <w:b w:val="0"/>
          <w:sz w:val="32"/>
          <w:szCs w:val="32"/>
        </w:rPr>
        <w:t>行政事业单位养老支出（款）事业单位离退休（项）：指事业单位开支的离退休经费。</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20.</w:t>
      </w:r>
      <w:r w:rsidR="00C51EA2" w:rsidRPr="00C51EA2">
        <w:rPr>
          <w:rStyle w:val="15"/>
          <w:rFonts w:ascii="仿宋" w:eastAsia="仿宋" w:hAnsi="仿宋" w:hint="eastAsia"/>
          <w:b w:val="0"/>
          <w:sz w:val="32"/>
          <w:szCs w:val="32"/>
        </w:rPr>
        <w:t xml:space="preserve"> </w:t>
      </w:r>
      <w:r w:rsidR="00C51EA2" w:rsidRPr="00AD1DF9">
        <w:rPr>
          <w:rStyle w:val="15"/>
          <w:rFonts w:ascii="仿宋" w:eastAsia="仿宋" w:hAnsi="仿宋" w:hint="eastAsia"/>
          <w:b w:val="0"/>
          <w:sz w:val="32"/>
          <w:szCs w:val="32"/>
        </w:rPr>
        <w:t>社会保障和就业支出（类）</w:t>
      </w:r>
      <w:r w:rsidRPr="00AD1DF9">
        <w:rPr>
          <w:rStyle w:val="15"/>
          <w:rFonts w:ascii="仿宋" w:eastAsia="仿宋" w:hAnsi="仿宋"/>
          <w:b w:val="0"/>
          <w:sz w:val="32"/>
          <w:szCs w:val="32"/>
        </w:rPr>
        <w:t>行政事业单位养老支出（款）机关事业单位基本养老保险缴费支出（项）：指由单位缴纳的基本养老保险费支出。</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21.</w:t>
      </w:r>
      <w:r w:rsidR="00C51EA2" w:rsidRPr="00C51EA2">
        <w:rPr>
          <w:rStyle w:val="15"/>
          <w:rFonts w:ascii="仿宋" w:eastAsia="仿宋" w:hAnsi="仿宋" w:hint="eastAsia"/>
          <w:b w:val="0"/>
          <w:sz w:val="32"/>
          <w:szCs w:val="32"/>
        </w:rPr>
        <w:t xml:space="preserve"> </w:t>
      </w:r>
      <w:r w:rsidR="00C51EA2" w:rsidRPr="00AD1DF9">
        <w:rPr>
          <w:rStyle w:val="15"/>
          <w:rFonts w:ascii="仿宋" w:eastAsia="仿宋" w:hAnsi="仿宋" w:hint="eastAsia"/>
          <w:b w:val="0"/>
          <w:sz w:val="32"/>
          <w:szCs w:val="32"/>
        </w:rPr>
        <w:t>社会保障和就业支出（类）</w:t>
      </w:r>
      <w:r w:rsidRPr="00AD1DF9">
        <w:rPr>
          <w:rStyle w:val="15"/>
          <w:rFonts w:ascii="仿宋" w:eastAsia="仿宋" w:hAnsi="仿宋"/>
          <w:b w:val="0"/>
          <w:sz w:val="32"/>
          <w:szCs w:val="32"/>
        </w:rPr>
        <w:t>行政事业单位养老支出（款）机关事业单位职业年金缴费支出（项）：指由单位实际缴纳的职业年金支出。</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22.</w:t>
      </w:r>
      <w:r w:rsidR="00C51EA2">
        <w:rPr>
          <w:rStyle w:val="15"/>
          <w:rFonts w:ascii="仿宋" w:eastAsia="仿宋" w:hAnsi="仿宋" w:hint="eastAsia"/>
          <w:b w:val="0"/>
          <w:sz w:val="32"/>
          <w:szCs w:val="32"/>
        </w:rPr>
        <w:t>卫生健康支出(类)</w:t>
      </w:r>
      <w:r w:rsidRPr="00AD1DF9">
        <w:rPr>
          <w:rStyle w:val="15"/>
          <w:rFonts w:ascii="仿宋" w:eastAsia="仿宋" w:hAnsi="仿宋"/>
          <w:b w:val="0"/>
          <w:sz w:val="32"/>
          <w:szCs w:val="32"/>
        </w:rPr>
        <w:t>行政事业单位医疗（款）事业单位医疗（项）：指事业单位基本医疗保险缴费经费。</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lastRenderedPageBreak/>
        <w:t>23</w:t>
      </w:r>
      <w:r w:rsidR="00C51EA2">
        <w:rPr>
          <w:rStyle w:val="15"/>
          <w:rFonts w:ascii="仿宋" w:eastAsia="仿宋" w:hAnsi="仿宋" w:hint="eastAsia"/>
          <w:b w:val="0"/>
          <w:sz w:val="32"/>
          <w:szCs w:val="32"/>
        </w:rPr>
        <w:t>卫生健康支出(类)</w:t>
      </w:r>
      <w:r w:rsidRPr="00AD1DF9">
        <w:rPr>
          <w:rStyle w:val="15"/>
          <w:rFonts w:ascii="仿宋" w:eastAsia="仿宋" w:hAnsi="仿宋"/>
          <w:b w:val="0"/>
          <w:sz w:val="32"/>
          <w:szCs w:val="32"/>
        </w:rPr>
        <w:t>行政事业单位医疗（款）公务员医疗补助（项）：指公务员医疗补助经费。</w:t>
      </w:r>
    </w:p>
    <w:p w:rsidR="00AD1DF9" w:rsidRPr="00AD1DF9" w:rsidRDefault="00AD1DF9" w:rsidP="00AD1DF9">
      <w:pPr>
        <w:spacing w:line="600" w:lineRule="atLeast"/>
        <w:ind w:firstLine="640"/>
        <w:jc w:val="both"/>
        <w:rPr>
          <w:rStyle w:val="15"/>
          <w:rFonts w:ascii="仿宋" w:eastAsia="仿宋" w:hAnsi="仿宋"/>
          <w:b w:val="0"/>
          <w:sz w:val="32"/>
          <w:szCs w:val="32"/>
        </w:rPr>
      </w:pPr>
      <w:r w:rsidRPr="00AD1DF9">
        <w:rPr>
          <w:rStyle w:val="15"/>
          <w:rFonts w:ascii="仿宋" w:eastAsia="仿宋" w:hAnsi="仿宋"/>
          <w:b w:val="0"/>
          <w:sz w:val="32"/>
          <w:szCs w:val="32"/>
        </w:rPr>
        <w:t>24.</w:t>
      </w:r>
      <w:r w:rsidR="00C51EA2" w:rsidRPr="00C51EA2">
        <w:rPr>
          <w:rStyle w:val="15"/>
          <w:rFonts w:ascii="仿宋" w:eastAsia="仿宋" w:hAnsi="仿宋" w:hint="eastAsia"/>
          <w:b w:val="0"/>
          <w:sz w:val="32"/>
          <w:szCs w:val="32"/>
        </w:rPr>
        <w:t xml:space="preserve"> </w:t>
      </w:r>
      <w:r w:rsidR="00C51EA2" w:rsidRPr="00AD1DF9">
        <w:rPr>
          <w:rStyle w:val="15"/>
          <w:rFonts w:ascii="仿宋" w:eastAsia="仿宋" w:hAnsi="仿宋" w:hint="eastAsia"/>
          <w:b w:val="0"/>
          <w:sz w:val="32"/>
          <w:szCs w:val="32"/>
        </w:rPr>
        <w:t>住房保障支出（类）</w:t>
      </w:r>
      <w:r w:rsidRPr="00AD1DF9">
        <w:rPr>
          <w:rStyle w:val="15"/>
          <w:rFonts w:ascii="仿宋" w:eastAsia="仿宋" w:hAnsi="仿宋"/>
          <w:b w:val="0"/>
          <w:sz w:val="32"/>
          <w:szCs w:val="32"/>
        </w:rPr>
        <w:t>住房改革支出（款）住房公积金（项）：指按规定比例为职工缴纳的住房公积金。</w:t>
      </w:r>
    </w:p>
    <w:p w:rsidR="00AF1C22" w:rsidRDefault="00AD1DF9" w:rsidP="00AD1DF9">
      <w:pPr>
        <w:spacing w:line="600" w:lineRule="atLeast"/>
        <w:ind w:firstLine="640"/>
        <w:jc w:val="both"/>
      </w:pPr>
      <w:r w:rsidRPr="00AD1DF9">
        <w:rPr>
          <w:rStyle w:val="15"/>
          <w:rFonts w:ascii="仿宋" w:eastAsia="仿宋" w:hAnsi="仿宋"/>
          <w:b w:val="0"/>
          <w:sz w:val="32"/>
          <w:szCs w:val="32"/>
        </w:rPr>
        <w:t>25.</w:t>
      </w:r>
      <w:r w:rsidR="00C51EA2" w:rsidRPr="00C51EA2">
        <w:rPr>
          <w:rStyle w:val="15"/>
          <w:rFonts w:ascii="仿宋" w:eastAsia="仿宋" w:hAnsi="仿宋" w:hint="eastAsia"/>
          <w:b w:val="0"/>
          <w:sz w:val="32"/>
          <w:szCs w:val="32"/>
        </w:rPr>
        <w:t xml:space="preserve"> </w:t>
      </w:r>
      <w:r w:rsidR="00C51EA2" w:rsidRPr="00AD1DF9">
        <w:rPr>
          <w:rStyle w:val="15"/>
          <w:rFonts w:ascii="仿宋" w:eastAsia="仿宋" w:hAnsi="仿宋" w:hint="eastAsia"/>
          <w:b w:val="0"/>
          <w:sz w:val="32"/>
          <w:szCs w:val="32"/>
        </w:rPr>
        <w:t>住房保障支出（类）</w:t>
      </w:r>
      <w:r w:rsidRPr="00AD1DF9">
        <w:rPr>
          <w:rStyle w:val="15"/>
          <w:rFonts w:ascii="仿宋" w:eastAsia="仿宋" w:hAnsi="仿宋"/>
          <w:b w:val="0"/>
          <w:sz w:val="32"/>
          <w:szCs w:val="32"/>
        </w:rPr>
        <w:t>住房改革支出（款）提租补贴（项）：指按规定标准向职工（含离退休人员）发放的租金补贴</w:t>
      </w:r>
      <w:r w:rsidRPr="00AD1DF9">
        <w:rPr>
          <w:rStyle w:val="15"/>
          <w:rFonts w:ascii="黑体" w:eastAsia="黑体" w:hAnsi="黑体"/>
          <w:sz w:val="32"/>
          <w:szCs w:val="32"/>
        </w:rPr>
        <w:t>。</w:t>
      </w:r>
    </w:p>
    <w:sectPr w:rsidR="00AF1C22" w:rsidSect="004F00B4">
      <w:pgSz w:w="11915" w:h="1685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DFB" w:rsidRDefault="00F75DFB" w:rsidP="00AD1DF9">
      <w:r>
        <w:separator/>
      </w:r>
    </w:p>
  </w:endnote>
  <w:endnote w:type="continuationSeparator" w:id="1">
    <w:p w:rsidR="00F75DFB" w:rsidRDefault="00F75DFB" w:rsidP="00AD1DF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0A87" w:usb1="00000000"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等线">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DFB" w:rsidRDefault="00F75DFB" w:rsidP="00AD1DF9">
      <w:r>
        <w:separator/>
      </w:r>
    </w:p>
  </w:footnote>
  <w:footnote w:type="continuationSeparator" w:id="1">
    <w:p w:rsidR="00F75DFB" w:rsidRDefault="00F75DFB" w:rsidP="00AD1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837CA"/>
    <w:multiLevelType w:val="multilevel"/>
    <w:tmpl w:val="74E02A96"/>
    <w:lvl w:ilvl="0">
      <w:start w:val="1"/>
      <w:numFmt w:val="chineseCounting"/>
      <w:suff w:val="nothing"/>
      <w:lvlText w:val="（%1）"/>
      <w:lvlJc w:val="left"/>
      <w:pPr>
        <w:tabs>
          <w:tab w:val="num" w:pos="0"/>
        </w:tabs>
        <w:ind w:left="0" w:firstLine="0"/>
      </w:pPr>
      <w:rPr>
        <w:rFonts w:ascii="宋体" w:eastAsia="宋体" w:hAnsi="宋体" w:hint="eastAsia"/>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noPunctuationKerning/>
  <w:characterSpacingControl w:val="doNotCompress"/>
  <w:hdrShapeDefaults>
    <o:shapedefaults v:ext="edit" spidmax="17410"/>
  </w:hdrShapeDefaults>
  <w:footnotePr>
    <w:footnote w:id="0"/>
    <w:footnote w:id="1"/>
  </w:footnotePr>
  <w:endnotePr>
    <w:endnote w:id="0"/>
    <w:endnote w:id="1"/>
  </w:endnotePr>
  <w:compat>
    <w:doNotExpandShiftReturn/>
    <w:useFELayout/>
  </w:compat>
  <w:rsids>
    <w:rsidRoot w:val="00AD1DF9"/>
    <w:rsid w:val="00066E13"/>
    <w:rsid w:val="000B4E11"/>
    <w:rsid w:val="00154345"/>
    <w:rsid w:val="002C0689"/>
    <w:rsid w:val="003A46BE"/>
    <w:rsid w:val="004251A6"/>
    <w:rsid w:val="004B6BBE"/>
    <w:rsid w:val="004F00B4"/>
    <w:rsid w:val="004F215F"/>
    <w:rsid w:val="00673E16"/>
    <w:rsid w:val="00696147"/>
    <w:rsid w:val="00821076"/>
    <w:rsid w:val="00907A5C"/>
    <w:rsid w:val="00A24465"/>
    <w:rsid w:val="00A27833"/>
    <w:rsid w:val="00A71E50"/>
    <w:rsid w:val="00AD1DF9"/>
    <w:rsid w:val="00AD2251"/>
    <w:rsid w:val="00AF1C22"/>
    <w:rsid w:val="00BB7CC2"/>
    <w:rsid w:val="00C04758"/>
    <w:rsid w:val="00C47855"/>
    <w:rsid w:val="00C51EA2"/>
    <w:rsid w:val="00F43C7B"/>
    <w:rsid w:val="00F75D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0" w:qFormat="1"/>
    <w:lsdException w:name="heading 8" w:semiHidden="1" w:uiPriority="0" w:qFormat="1"/>
    <w:lsdException w:name="heading 9" w:semiHidden="1" w:uiPriority="0" w:qFormat="1"/>
    <w:lsdException w:name="index 1" w:uiPriority="0" w:unhideWhenUsed="0"/>
    <w:lsdException w:name="index 2" w:uiPriority="0" w:unhideWhenUsed="0"/>
    <w:lsdException w:name="index 3" w:uiPriority="0" w:unhideWhenUsed="0"/>
    <w:lsdException w:name="index 4" w:uiPriority="0" w:unhideWhenUsed="0"/>
    <w:lsdException w:name="index 5" w:uiPriority="0" w:unhideWhenUsed="0"/>
    <w:lsdException w:name="index 6" w:uiPriority="0" w:unhideWhenUsed="0"/>
    <w:lsdException w:name="index 7" w:uiPriority="0" w:unhideWhenUsed="0"/>
    <w:lsdException w:name="index 8" w:uiPriority="0" w:unhideWhenUsed="0"/>
    <w:lsdException w:name="index 9" w:uiPriority="0" w:unhideWhenUsed="0"/>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uiPriority="0" w:unhideWhenUsed="0"/>
    <w:lsdException w:name="footnote text" w:uiPriority="0" w:unhideWhenUsed="0"/>
    <w:lsdException w:name="annotation text" w:uiPriority="0" w:unhideWhenUsed="0"/>
    <w:lsdException w:name="header" w:uiPriority="0" w:unhideWhenUsed="0"/>
    <w:lsdException w:name="footer" w:uiPriority="0" w:unhideWhenUsed="0"/>
    <w:lsdException w:name="index heading" w:uiPriority="0" w:unhideWhenUsed="0"/>
    <w:lsdException w:name="caption" w:semiHidden="1" w:uiPriority="0" w:qFormat="1"/>
    <w:lsdException w:name="table of figures" w:uiPriority="0" w:unhideWhenUsed="0"/>
    <w:lsdException w:name="envelope address" w:uiPriority="0" w:unhideWhenUsed="0"/>
    <w:lsdException w:name="envelope return" w:uiPriority="0" w:unhideWhenUsed="0"/>
    <w:lsdException w:name="footnote reference" w:uiPriority="0" w:unhideWhenUsed="0"/>
    <w:lsdException w:name="annotation reference" w:uiPriority="0" w:unhideWhenUsed="0"/>
    <w:lsdException w:name="line number" w:uiPriority="0" w:unhideWhenUsed="0"/>
    <w:lsdException w:name="page number" w:uiPriority="0" w:unhideWhenUsed="0"/>
    <w:lsdException w:name="endnote reference" w:uiPriority="0" w:unhideWhenUsed="0"/>
    <w:lsdException w:name="endnote text" w:uiPriority="0" w:unhideWhenUsed="0"/>
    <w:lsdException w:name="table of authorities" w:uiPriority="0" w:unhideWhenUsed="0"/>
    <w:lsdException w:name="macro" w:uiPriority="0" w:unhideWhenUsed="0"/>
    <w:lsdException w:name="toa heading" w:uiPriority="0" w:unhideWhenUsed="0"/>
    <w:lsdException w:name="List" w:uiPriority="0" w:unhideWhenUsed="0"/>
    <w:lsdException w:name="List Bullet" w:uiPriority="0" w:unhideWhenUsed="0"/>
    <w:lsdException w:name="List Number" w:uiPriority="0" w:unhideWhenUsed="0"/>
    <w:lsdException w:name="List 2" w:uiPriority="0" w:unhideWhenUsed="0"/>
    <w:lsdException w:name="List 3" w:uiPriority="0" w:unhideWhenUsed="0"/>
    <w:lsdException w:name="List 4" w:uiPriority="0" w:unhideWhenUsed="0"/>
    <w:lsdException w:name="List 5" w:uiPriority="0" w:unhideWhenUsed="0"/>
    <w:lsdException w:name="List Bullet 2" w:uiPriority="0" w:unhideWhenUsed="0"/>
    <w:lsdException w:name="List Bullet 3" w:uiPriority="0" w:unhideWhenUsed="0"/>
    <w:lsdException w:name="List Bullet 4" w:uiPriority="0" w:unhideWhenUsed="0"/>
    <w:lsdException w:name="List Bullet 5" w:uiPriority="0" w:unhideWhenUsed="0"/>
    <w:lsdException w:name="List Number 2" w:uiPriority="0" w:unhideWhenUsed="0"/>
    <w:lsdException w:name="List Number 3" w:uiPriority="0" w:unhideWhenUsed="0"/>
    <w:lsdException w:name="List Number 4" w:uiPriority="0" w:unhideWhenUsed="0"/>
    <w:lsdException w:name="List Number 5" w:uiPriority="0" w:unhideWhenUsed="0"/>
    <w:lsdException w:name="Title" w:uiPriority="0" w:unhideWhenUsed="0" w:qFormat="1"/>
    <w:lsdException w:name="Closing" w:uiPriority="0" w:unhideWhenUsed="0"/>
    <w:lsdException w:name="Signature" w:uiPriority="0" w:unhideWhenUsed="0"/>
    <w:lsdException w:name="Body Text" w:uiPriority="0" w:unhideWhenUsed="0"/>
    <w:lsdException w:name="Body Text Indent" w:uiPriority="0" w:unhideWhenUsed="0"/>
    <w:lsdException w:name="List Continue" w:uiPriority="0" w:unhideWhenUsed="0"/>
    <w:lsdException w:name="List Continue 2" w:uiPriority="0" w:unhideWhenUsed="0"/>
    <w:lsdException w:name="List Continue 3" w:uiPriority="0" w:unhideWhenUsed="0"/>
    <w:lsdException w:name="List Continue 4" w:uiPriority="0" w:unhideWhenUsed="0"/>
    <w:lsdException w:name="List Continue 5" w:uiPriority="0" w:unhideWhenUsed="0"/>
    <w:lsdException w:name="Message Header" w:uiPriority="0" w:unhideWhenUsed="0"/>
    <w:lsdException w:name="Subtitle" w:uiPriority="0" w:unhideWhenUsed="0" w:qFormat="1"/>
    <w:lsdException w:name="Salutation" w:uiPriority="0" w:unhideWhenUsed="0"/>
    <w:lsdException w:name="Date" w:uiPriority="0" w:unhideWhenUsed="0"/>
    <w:lsdException w:name="Body Text First Indent" w:uiPriority="0" w:unhideWhenUsed="0"/>
    <w:lsdException w:name="Body Text First Indent 2" w:uiPriority="0" w:unhideWhenUsed="0"/>
    <w:lsdException w:name="Note Heading" w:uiPriority="0" w:unhideWhenUsed="0"/>
    <w:lsdException w:name="Body Text 2" w:uiPriority="0" w:unhideWhenUsed="0"/>
    <w:lsdException w:name="Body Text 3" w:uiPriority="0" w:unhideWhenUsed="0"/>
    <w:lsdException w:name="Body Text Indent 2" w:uiPriority="0" w:unhideWhenUsed="0"/>
    <w:lsdException w:name="Body Text Indent 3" w:uiPriority="0" w:unhideWhenUsed="0"/>
    <w:lsdException w:name="Block Text" w:uiPriority="0" w:unhideWhenUsed="0"/>
    <w:lsdException w:name="Hyperlink" w:uiPriority="0" w:unhideWhenUsed="0"/>
    <w:lsdException w:name="FollowedHyperlink" w:uiPriority="0" w:unhideWhenUsed="0"/>
    <w:lsdException w:name="Strong" w:uiPriority="0" w:unhideWhenUsed="0" w:qFormat="1"/>
    <w:lsdException w:name="Emphasis" w:uiPriority="0" w:unhideWhenUsed="0" w:qFormat="1"/>
    <w:lsdException w:name="Document Map" w:uiPriority="0" w:unhideWhenUsed="0"/>
    <w:lsdException w:name="Plain Text" w:uiPriority="0" w:unhideWhenUsed="0"/>
    <w:lsdException w:name="E-mail Signature" w:uiPriority="0" w:unhideWhenUsed="0"/>
    <w:lsdException w:name="HTML Top of Form" w:semiHidden="1"/>
    <w:lsdException w:name="HTML Bottom of Form" w:semiHidden="1"/>
    <w:lsdException w:name="Normal (Web)" w:uiPriority="0" w:unhideWhenUsed="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annotation subject" w:uiPriority="0" w:unhideWhenUsed="0"/>
    <w:lsdException w:name="Outline List 1" w:semiHidden="1"/>
    <w:lsdException w:name="Outline List 2" w:semiHidden="1"/>
    <w:lsdException w:name="Outline List 3" w:semiHidden="1"/>
    <w:lsdException w:name="Balloon Text" w:uiPriority="0"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F00B4"/>
    <w:rPr>
      <w:rFonts w:ascii="宋体" w:eastAsia="宋体" w:hAnsi="宋体" w:cs="宋体"/>
      <w:sz w:val="24"/>
      <w:szCs w:val="24"/>
    </w:rPr>
  </w:style>
  <w:style w:type="paragraph" w:styleId="1">
    <w:name w:val="heading 1"/>
    <w:basedOn w:val="a"/>
    <w:next w:val="a"/>
    <w:link w:val="1Char"/>
    <w:qFormat/>
    <w:rsid w:val="004F00B4"/>
    <w:pPr>
      <w:spacing w:before="100" w:beforeAutospacing="1" w:after="100" w:afterAutospacing="1"/>
      <w:outlineLvl w:val="0"/>
    </w:pPr>
    <w:rPr>
      <w:b/>
      <w:bCs/>
      <w:kern w:val="44"/>
      <w:sz w:val="48"/>
      <w:szCs w:val="48"/>
    </w:rPr>
  </w:style>
  <w:style w:type="paragraph" w:styleId="2">
    <w:name w:val="heading 2"/>
    <w:basedOn w:val="a"/>
    <w:next w:val="a"/>
    <w:link w:val="2Char"/>
    <w:qFormat/>
    <w:rsid w:val="004F00B4"/>
    <w:pPr>
      <w:spacing w:before="100" w:beforeAutospacing="1" w:after="100" w:afterAutospacing="1"/>
      <w:outlineLvl w:val="1"/>
    </w:pPr>
    <w:rPr>
      <w:b/>
      <w:bCs/>
      <w:sz w:val="36"/>
      <w:szCs w:val="36"/>
    </w:rPr>
  </w:style>
  <w:style w:type="paragraph" w:styleId="3">
    <w:name w:val="heading 3"/>
    <w:basedOn w:val="a"/>
    <w:next w:val="a"/>
    <w:link w:val="3Char"/>
    <w:qFormat/>
    <w:rsid w:val="004F00B4"/>
    <w:pPr>
      <w:spacing w:before="100" w:beforeAutospacing="1" w:after="100" w:afterAutospacing="1"/>
      <w:outlineLvl w:val="2"/>
    </w:pPr>
    <w:rPr>
      <w:b/>
      <w:bCs/>
      <w:sz w:val="27"/>
      <w:szCs w:val="27"/>
    </w:rPr>
  </w:style>
  <w:style w:type="paragraph" w:styleId="4">
    <w:name w:val="heading 4"/>
    <w:basedOn w:val="a"/>
    <w:next w:val="a"/>
    <w:link w:val="4Char"/>
    <w:qFormat/>
    <w:rsid w:val="004F00B4"/>
    <w:pPr>
      <w:spacing w:before="100" w:beforeAutospacing="1" w:after="100" w:afterAutospacing="1"/>
      <w:outlineLvl w:val="3"/>
    </w:pPr>
    <w:rPr>
      <w:b/>
      <w:bCs/>
    </w:rPr>
  </w:style>
  <w:style w:type="paragraph" w:styleId="5">
    <w:name w:val="heading 5"/>
    <w:basedOn w:val="a"/>
    <w:next w:val="a"/>
    <w:link w:val="5Char"/>
    <w:qFormat/>
    <w:rsid w:val="004F00B4"/>
    <w:pPr>
      <w:spacing w:before="100" w:beforeAutospacing="1" w:after="100" w:afterAutospacing="1"/>
      <w:outlineLvl w:val="4"/>
    </w:pPr>
    <w:rPr>
      <w:b/>
      <w:bCs/>
      <w:sz w:val="20"/>
      <w:szCs w:val="20"/>
    </w:rPr>
  </w:style>
  <w:style w:type="paragraph" w:styleId="6">
    <w:name w:val="heading 6"/>
    <w:basedOn w:val="a"/>
    <w:next w:val="a"/>
    <w:link w:val="6Char"/>
    <w:qFormat/>
    <w:rsid w:val="004F00B4"/>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00B4"/>
    <w:rPr>
      <w:rFonts w:ascii="宋体" w:eastAsia="宋体" w:hAnsi="宋体" w:cs="宋体"/>
      <w:b/>
      <w:bCs/>
      <w:kern w:val="44"/>
      <w:sz w:val="44"/>
      <w:szCs w:val="44"/>
    </w:rPr>
  </w:style>
  <w:style w:type="character" w:customStyle="1" w:styleId="2Char">
    <w:name w:val="标题 2 Char"/>
    <w:basedOn w:val="a0"/>
    <w:link w:val="2"/>
    <w:rsid w:val="004F00B4"/>
    <w:rPr>
      <w:rFonts w:asciiTheme="majorHAnsi" w:eastAsiaTheme="majorEastAsia" w:hAnsiTheme="majorHAnsi" w:cstheme="majorBidi"/>
      <w:b/>
      <w:bCs/>
      <w:sz w:val="32"/>
      <w:szCs w:val="32"/>
    </w:rPr>
  </w:style>
  <w:style w:type="character" w:customStyle="1" w:styleId="3Char">
    <w:name w:val="标题 3 Char"/>
    <w:basedOn w:val="a0"/>
    <w:link w:val="3"/>
    <w:rsid w:val="004F00B4"/>
    <w:rPr>
      <w:rFonts w:ascii="宋体" w:eastAsia="宋体" w:hAnsi="宋体" w:cs="宋体"/>
      <w:b/>
      <w:bCs/>
      <w:sz w:val="32"/>
      <w:szCs w:val="32"/>
    </w:rPr>
  </w:style>
  <w:style w:type="character" w:customStyle="1" w:styleId="4Char">
    <w:name w:val="标题 4 Char"/>
    <w:basedOn w:val="a0"/>
    <w:link w:val="4"/>
    <w:rsid w:val="004F00B4"/>
    <w:rPr>
      <w:rFonts w:asciiTheme="majorHAnsi" w:eastAsiaTheme="majorEastAsia" w:hAnsiTheme="majorHAnsi" w:cstheme="majorBidi"/>
      <w:b/>
      <w:bCs/>
      <w:sz w:val="28"/>
      <w:szCs w:val="28"/>
    </w:rPr>
  </w:style>
  <w:style w:type="character" w:customStyle="1" w:styleId="5Char">
    <w:name w:val="标题 5 Char"/>
    <w:basedOn w:val="a0"/>
    <w:link w:val="5"/>
    <w:rsid w:val="004F00B4"/>
    <w:rPr>
      <w:rFonts w:ascii="宋体" w:eastAsia="宋体" w:hAnsi="宋体" w:cs="宋体"/>
      <w:b/>
      <w:bCs/>
      <w:sz w:val="28"/>
      <w:szCs w:val="28"/>
    </w:rPr>
  </w:style>
  <w:style w:type="character" w:customStyle="1" w:styleId="6Char">
    <w:name w:val="标题 6 Char"/>
    <w:basedOn w:val="a0"/>
    <w:link w:val="6"/>
    <w:rsid w:val="004F00B4"/>
    <w:rPr>
      <w:rFonts w:asciiTheme="majorHAnsi" w:eastAsiaTheme="majorEastAsia" w:hAnsiTheme="majorHAnsi" w:cstheme="majorBidi"/>
      <w:b/>
      <w:bCs/>
      <w:sz w:val="24"/>
      <w:szCs w:val="24"/>
    </w:rPr>
  </w:style>
  <w:style w:type="paragraph" w:styleId="a3">
    <w:name w:val="Normal (Web)"/>
    <w:basedOn w:val="a"/>
    <w:rsid w:val="004F00B4"/>
    <w:pPr>
      <w:spacing w:before="100" w:beforeAutospacing="1" w:after="100" w:afterAutospacing="1"/>
    </w:pPr>
  </w:style>
  <w:style w:type="paragraph" w:styleId="HTML">
    <w:name w:val="HTML Preformatted"/>
    <w:basedOn w:val="a"/>
    <w:link w:val="HTMLChar"/>
    <w:rsid w:val="004F00B4"/>
  </w:style>
  <w:style w:type="character" w:customStyle="1" w:styleId="HTMLChar">
    <w:name w:val="HTML 预设格式 Char"/>
    <w:basedOn w:val="a0"/>
    <w:link w:val="HTML"/>
    <w:rsid w:val="004F00B4"/>
    <w:rPr>
      <w:rFonts w:ascii="Courier New" w:eastAsia="宋体" w:hAnsi="Courier New" w:cs="Courier New"/>
    </w:rPr>
  </w:style>
  <w:style w:type="paragraph" w:customStyle="1" w:styleId="HTMLChar1">
    <w:name w:val="HTML 预设格式 Char1"/>
    <w:basedOn w:val="a"/>
    <w:rsid w:val="004F00B4"/>
  </w:style>
  <w:style w:type="paragraph" w:customStyle="1" w:styleId="Char">
    <w:name w:val="普通(网站) Char"/>
    <w:basedOn w:val="a"/>
    <w:rsid w:val="004F00B4"/>
    <w:pPr>
      <w:spacing w:before="100" w:beforeAutospacing="1" w:after="100" w:afterAutospacing="1"/>
    </w:pPr>
  </w:style>
  <w:style w:type="character" w:customStyle="1" w:styleId="10">
    <w:name w:val="10"/>
    <w:basedOn w:val="a0"/>
    <w:rsid w:val="004F00B4"/>
    <w:rPr>
      <w:rFonts w:ascii="Times New Roman" w:hAnsi="Times New Roman" w:cs="Times New Roman" w:hint="default"/>
    </w:rPr>
  </w:style>
  <w:style w:type="character" w:customStyle="1" w:styleId="15">
    <w:name w:val="15"/>
    <w:basedOn w:val="a0"/>
    <w:rsid w:val="004F00B4"/>
    <w:rPr>
      <w:rFonts w:ascii="Times New Roman" w:hAnsi="Times New Roman" w:cs="Times New Roman" w:hint="default"/>
      <w:b/>
      <w:bCs/>
    </w:rPr>
  </w:style>
  <w:style w:type="character" w:customStyle="1" w:styleId="16">
    <w:name w:val="16"/>
    <w:basedOn w:val="a0"/>
    <w:rsid w:val="004F00B4"/>
    <w:rPr>
      <w:rFonts w:ascii="Times New Roman" w:hAnsi="Times New Roman" w:cs="Times New Roman" w:hint="default"/>
    </w:rPr>
  </w:style>
  <w:style w:type="paragraph" w:styleId="a4">
    <w:name w:val="header"/>
    <w:basedOn w:val="a"/>
    <w:link w:val="Char0"/>
    <w:rsid w:val="00AD1D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D1DF9"/>
    <w:rPr>
      <w:rFonts w:ascii="宋体" w:eastAsia="宋体" w:hAnsi="宋体" w:cs="宋体"/>
      <w:sz w:val="18"/>
      <w:szCs w:val="18"/>
    </w:rPr>
  </w:style>
  <w:style w:type="paragraph" w:styleId="a5">
    <w:name w:val="footer"/>
    <w:basedOn w:val="a"/>
    <w:link w:val="Char1"/>
    <w:rsid w:val="00AD1DF9"/>
    <w:pPr>
      <w:tabs>
        <w:tab w:val="center" w:pos="4153"/>
        <w:tab w:val="right" w:pos="8306"/>
      </w:tabs>
      <w:snapToGrid w:val="0"/>
    </w:pPr>
    <w:rPr>
      <w:sz w:val="18"/>
      <w:szCs w:val="18"/>
    </w:rPr>
  </w:style>
  <w:style w:type="character" w:customStyle="1" w:styleId="Char1">
    <w:name w:val="页脚 Char"/>
    <w:basedOn w:val="a0"/>
    <w:link w:val="a5"/>
    <w:rsid w:val="00AD1DF9"/>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977</Words>
  <Characters>5570</Characters>
  <Application>Microsoft Office Word</Application>
  <DocSecurity>0</DocSecurity>
  <Lines>46</Lines>
  <Paragraphs>13</Paragraphs>
  <ScaleCrop>false</ScaleCrop>
  <Company>China</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2021-09-27T01:58:00Z</cp:lastPrinted>
  <dcterms:created xsi:type="dcterms:W3CDTF">2021-09-07T02:00:00Z</dcterms:created>
  <dcterms:modified xsi:type="dcterms:W3CDTF">2021-09-27T02:09:00Z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