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DF" w:rsidRDefault="00F660DF" w:rsidP="00F660DF">
      <w:pPr>
        <w:spacing w:line="720" w:lineRule="auto"/>
        <w:rPr>
          <w:rFonts w:asciiTheme="majorEastAsia" w:eastAsiaTheme="majorEastAsia" w:hAnsiTheme="majorEastAsia"/>
          <w:b/>
          <w:sz w:val="84"/>
          <w:szCs w:val="84"/>
        </w:rPr>
      </w:pPr>
    </w:p>
    <w:p w:rsidR="00F660DF" w:rsidRDefault="00F660DF" w:rsidP="00F660DF">
      <w:pPr>
        <w:spacing w:line="720" w:lineRule="auto"/>
        <w:rPr>
          <w:rFonts w:asciiTheme="majorEastAsia" w:eastAsiaTheme="majorEastAsia" w:hAnsiTheme="majorEastAsia"/>
          <w:b/>
          <w:sz w:val="84"/>
          <w:szCs w:val="84"/>
        </w:rPr>
      </w:pPr>
    </w:p>
    <w:p w:rsidR="003872AF" w:rsidRPr="002E3DED" w:rsidRDefault="001015D7" w:rsidP="00F660DF">
      <w:pPr>
        <w:spacing w:line="720" w:lineRule="auto"/>
        <w:jc w:val="center"/>
        <w:rPr>
          <w:rFonts w:asciiTheme="majorEastAsia" w:eastAsiaTheme="majorEastAsia" w:hAnsiTheme="majorEastAsia"/>
          <w:b/>
          <w:spacing w:val="100"/>
          <w:sz w:val="84"/>
          <w:szCs w:val="84"/>
        </w:rPr>
      </w:pPr>
      <w:r w:rsidRPr="002E3DED">
        <w:rPr>
          <w:rFonts w:asciiTheme="majorEastAsia" w:eastAsiaTheme="majorEastAsia" w:hAnsiTheme="majorEastAsia" w:hint="eastAsia"/>
          <w:b/>
          <w:spacing w:val="100"/>
          <w:sz w:val="84"/>
          <w:szCs w:val="84"/>
        </w:rPr>
        <w:t>宁波</w:t>
      </w:r>
      <w:r w:rsidRPr="002E3DED">
        <w:rPr>
          <w:rFonts w:asciiTheme="majorEastAsia" w:eastAsiaTheme="majorEastAsia" w:hAnsiTheme="majorEastAsia"/>
          <w:b/>
          <w:spacing w:val="100"/>
          <w:sz w:val="84"/>
          <w:szCs w:val="84"/>
        </w:rPr>
        <w:t>仲裁委员会</w:t>
      </w:r>
    </w:p>
    <w:p w:rsidR="003872AF" w:rsidRPr="000321E0" w:rsidRDefault="003872AF" w:rsidP="005A210C">
      <w:pPr>
        <w:spacing w:line="720" w:lineRule="auto"/>
        <w:jc w:val="center"/>
        <w:rPr>
          <w:rFonts w:asciiTheme="majorEastAsia" w:eastAsiaTheme="majorEastAsia" w:hAnsiTheme="majorEastAsia"/>
          <w:b/>
          <w:sz w:val="84"/>
          <w:szCs w:val="84"/>
        </w:rPr>
      </w:pPr>
    </w:p>
    <w:p w:rsidR="003872AF" w:rsidRPr="000321E0" w:rsidRDefault="003872AF" w:rsidP="005A210C">
      <w:pPr>
        <w:spacing w:line="720" w:lineRule="auto"/>
        <w:jc w:val="center"/>
        <w:rPr>
          <w:rFonts w:asciiTheme="majorEastAsia" w:eastAsiaTheme="majorEastAsia" w:hAnsiTheme="majorEastAsia"/>
          <w:b/>
          <w:sz w:val="84"/>
          <w:szCs w:val="84"/>
        </w:rPr>
      </w:pPr>
    </w:p>
    <w:p w:rsidR="003B6206" w:rsidRPr="00A4236B" w:rsidRDefault="001015D7" w:rsidP="005A210C">
      <w:pPr>
        <w:spacing w:line="720" w:lineRule="auto"/>
        <w:jc w:val="center"/>
        <w:rPr>
          <w:rFonts w:asciiTheme="majorEastAsia" w:eastAsiaTheme="majorEastAsia" w:hAnsiTheme="majorEastAsia"/>
          <w:b/>
          <w:spacing w:val="40"/>
          <w:sz w:val="60"/>
          <w:szCs w:val="60"/>
        </w:rPr>
      </w:pPr>
      <w:r w:rsidRPr="00A4236B">
        <w:rPr>
          <w:rFonts w:asciiTheme="majorEastAsia" w:eastAsiaTheme="majorEastAsia" w:hAnsiTheme="majorEastAsia"/>
          <w:b/>
          <w:spacing w:val="40"/>
          <w:sz w:val="60"/>
          <w:szCs w:val="60"/>
        </w:rPr>
        <w:t>互联网</w:t>
      </w:r>
      <w:r w:rsidRPr="00A4236B">
        <w:rPr>
          <w:rFonts w:asciiTheme="majorEastAsia" w:eastAsiaTheme="majorEastAsia" w:hAnsiTheme="majorEastAsia" w:hint="eastAsia"/>
          <w:b/>
          <w:spacing w:val="40"/>
          <w:sz w:val="60"/>
          <w:szCs w:val="60"/>
        </w:rPr>
        <w:t>在线</w:t>
      </w:r>
      <w:r w:rsidRPr="00A4236B">
        <w:rPr>
          <w:rFonts w:asciiTheme="majorEastAsia" w:eastAsiaTheme="majorEastAsia" w:hAnsiTheme="majorEastAsia"/>
          <w:b/>
          <w:spacing w:val="40"/>
          <w:sz w:val="60"/>
          <w:szCs w:val="60"/>
        </w:rPr>
        <w:t>仲裁规则</w:t>
      </w:r>
    </w:p>
    <w:p w:rsidR="00333F12" w:rsidRPr="000321E0" w:rsidRDefault="00333F12" w:rsidP="005A210C">
      <w:pPr>
        <w:spacing w:line="720" w:lineRule="auto"/>
        <w:jc w:val="center"/>
        <w:rPr>
          <w:rFonts w:asciiTheme="majorEastAsia" w:eastAsiaTheme="majorEastAsia" w:hAnsiTheme="majorEastAsia"/>
          <w:b/>
          <w:sz w:val="44"/>
          <w:szCs w:val="44"/>
        </w:rPr>
      </w:pPr>
    </w:p>
    <w:p w:rsidR="00333F12" w:rsidRPr="000321E0" w:rsidRDefault="00333F12" w:rsidP="005A210C">
      <w:pPr>
        <w:spacing w:line="720" w:lineRule="auto"/>
        <w:jc w:val="center"/>
        <w:rPr>
          <w:rFonts w:asciiTheme="majorEastAsia" w:eastAsiaTheme="majorEastAsia" w:hAnsiTheme="majorEastAsia"/>
          <w:b/>
          <w:sz w:val="44"/>
          <w:szCs w:val="44"/>
        </w:rPr>
      </w:pPr>
    </w:p>
    <w:p w:rsidR="00333F12" w:rsidRPr="000321E0" w:rsidRDefault="00333F12" w:rsidP="005A210C">
      <w:pPr>
        <w:spacing w:line="720" w:lineRule="auto"/>
        <w:jc w:val="center"/>
        <w:rPr>
          <w:rFonts w:asciiTheme="majorEastAsia" w:eastAsiaTheme="majorEastAsia" w:hAnsiTheme="majorEastAsia"/>
          <w:b/>
          <w:sz w:val="44"/>
          <w:szCs w:val="44"/>
        </w:rPr>
      </w:pPr>
    </w:p>
    <w:p w:rsidR="00333F12" w:rsidRPr="000321E0" w:rsidRDefault="00333F12" w:rsidP="005A210C">
      <w:pPr>
        <w:spacing w:line="720" w:lineRule="auto"/>
        <w:jc w:val="center"/>
        <w:rPr>
          <w:rFonts w:asciiTheme="majorEastAsia" w:eastAsiaTheme="majorEastAsia" w:hAnsiTheme="majorEastAsia"/>
          <w:b/>
          <w:sz w:val="44"/>
          <w:szCs w:val="44"/>
        </w:rPr>
      </w:pPr>
    </w:p>
    <w:p w:rsidR="00333F12" w:rsidRPr="000321E0" w:rsidRDefault="00333F12" w:rsidP="005A210C">
      <w:pPr>
        <w:spacing w:line="720" w:lineRule="auto"/>
        <w:jc w:val="center"/>
        <w:rPr>
          <w:rFonts w:asciiTheme="majorEastAsia" w:eastAsiaTheme="majorEastAsia" w:hAnsiTheme="majorEastAsia"/>
          <w:b/>
          <w:sz w:val="44"/>
          <w:szCs w:val="44"/>
        </w:rPr>
      </w:pPr>
    </w:p>
    <w:p w:rsidR="00333F12" w:rsidRPr="000321E0" w:rsidRDefault="00333F12" w:rsidP="005A210C">
      <w:pPr>
        <w:spacing w:line="720" w:lineRule="auto"/>
        <w:jc w:val="center"/>
        <w:rPr>
          <w:rFonts w:asciiTheme="majorEastAsia" w:eastAsiaTheme="majorEastAsia" w:hAnsiTheme="majorEastAsia"/>
          <w:b/>
          <w:sz w:val="44"/>
          <w:szCs w:val="44"/>
        </w:rPr>
      </w:pPr>
    </w:p>
    <w:p w:rsidR="00333F12" w:rsidRPr="000321E0" w:rsidRDefault="00333F12" w:rsidP="00BD3566">
      <w:pPr>
        <w:spacing w:line="720" w:lineRule="auto"/>
        <w:rPr>
          <w:rFonts w:asciiTheme="majorEastAsia" w:eastAsiaTheme="majorEastAsia" w:hAnsiTheme="majorEastAsia"/>
          <w:b/>
          <w:sz w:val="44"/>
          <w:szCs w:val="44"/>
        </w:rPr>
      </w:pPr>
    </w:p>
    <w:sdt>
      <w:sdtPr>
        <w:rPr>
          <w:rFonts w:asciiTheme="majorEastAsia" w:eastAsiaTheme="majorEastAsia" w:hAnsiTheme="majorEastAsia"/>
          <w:lang w:val="zh-CN"/>
        </w:rPr>
        <w:id w:val="20116144"/>
        <w:docPartObj>
          <w:docPartGallery w:val="Table of Contents"/>
          <w:docPartUnique/>
        </w:docPartObj>
      </w:sdtPr>
      <w:sdtEndPr>
        <w:rPr>
          <w:lang w:val="en-US"/>
        </w:rPr>
      </w:sdtEndPr>
      <w:sdtContent>
        <w:p w:rsidR="000E1BEE" w:rsidRPr="000321E0" w:rsidRDefault="000E1BEE">
          <w:pPr>
            <w:jc w:val="center"/>
            <w:rPr>
              <w:rFonts w:asciiTheme="majorEastAsia" w:eastAsiaTheme="majorEastAsia" w:hAnsiTheme="majorEastAsia"/>
            </w:rPr>
          </w:pPr>
        </w:p>
        <w:p w:rsidR="000E1BEE" w:rsidRPr="006A7585" w:rsidRDefault="00451F23">
          <w:pPr>
            <w:pStyle w:val="10"/>
            <w:tabs>
              <w:tab w:val="right" w:leader="dot" w:pos="8306"/>
            </w:tabs>
            <w:rPr>
              <w:rFonts w:asciiTheme="majorEastAsia" w:eastAsiaTheme="majorEastAsia" w:hAnsiTheme="majorEastAsia"/>
              <w:noProof/>
              <w:sz w:val="21"/>
              <w:szCs w:val="21"/>
            </w:rPr>
          </w:pPr>
          <w:r w:rsidRPr="00451F23">
            <w:rPr>
              <w:rFonts w:asciiTheme="majorEastAsia" w:eastAsiaTheme="majorEastAsia" w:hAnsiTheme="majorEastAsia"/>
              <w:sz w:val="21"/>
              <w:szCs w:val="21"/>
            </w:rPr>
            <w:fldChar w:fldCharType="begin"/>
          </w:r>
          <w:r w:rsidR="000E1BEE" w:rsidRPr="006A7585">
            <w:rPr>
              <w:rFonts w:asciiTheme="majorEastAsia" w:eastAsiaTheme="majorEastAsia" w:hAnsiTheme="majorEastAsia"/>
              <w:sz w:val="21"/>
              <w:szCs w:val="21"/>
            </w:rPr>
            <w:instrText xml:space="preserve"> TOC \o "1-3" \h \z \u </w:instrText>
          </w:r>
          <w:r w:rsidRPr="00451F23">
            <w:rPr>
              <w:rFonts w:asciiTheme="majorEastAsia" w:eastAsiaTheme="majorEastAsia" w:hAnsiTheme="majorEastAsia"/>
              <w:sz w:val="21"/>
              <w:szCs w:val="21"/>
            </w:rPr>
            <w:fldChar w:fldCharType="separate"/>
          </w:r>
          <w:hyperlink w:anchor="_Toc9002" w:history="1">
            <w:r w:rsidR="000E1BEE" w:rsidRPr="006A7585">
              <w:rPr>
                <w:rFonts w:asciiTheme="majorEastAsia" w:eastAsiaTheme="majorEastAsia" w:hAnsiTheme="majorEastAsia" w:hint="eastAsia"/>
                <w:noProof/>
                <w:sz w:val="21"/>
                <w:szCs w:val="21"/>
              </w:rPr>
              <w:t>第一章 总则</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_Toc9002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1</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0127" w:history="1">
            <w:r w:rsidR="000E1BEE" w:rsidRPr="006A7585">
              <w:rPr>
                <w:rFonts w:asciiTheme="majorEastAsia" w:eastAsiaTheme="majorEastAsia" w:hAnsiTheme="majorEastAsia" w:hint="eastAsia"/>
                <w:noProof/>
                <w:sz w:val="21"/>
                <w:szCs w:val="21"/>
              </w:rPr>
              <w:t>第一条 制定目的及依据</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_Toc20127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1</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953" w:history="1">
            <w:r w:rsidR="000E1BEE" w:rsidRPr="006A7585">
              <w:rPr>
                <w:rFonts w:asciiTheme="majorEastAsia" w:eastAsiaTheme="majorEastAsia" w:hAnsiTheme="majorEastAsia" w:hint="eastAsia"/>
                <w:noProof/>
                <w:sz w:val="21"/>
                <w:szCs w:val="21"/>
              </w:rPr>
              <w:t>第二条 互联网在线仲裁定义</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_Toc1953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1</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4937" w:history="1">
            <w:r w:rsidR="000E1BEE" w:rsidRPr="006A7585">
              <w:rPr>
                <w:rFonts w:asciiTheme="majorEastAsia" w:eastAsiaTheme="majorEastAsia" w:hAnsiTheme="majorEastAsia" w:hint="eastAsia"/>
                <w:noProof/>
                <w:sz w:val="21"/>
                <w:szCs w:val="21"/>
              </w:rPr>
              <w:t>第三条 本规则术语的含义</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_Toc24937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1</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4795" w:history="1">
            <w:r w:rsidR="000E1BEE" w:rsidRPr="006A7585">
              <w:rPr>
                <w:rFonts w:asciiTheme="majorEastAsia" w:eastAsiaTheme="majorEastAsia" w:hAnsiTheme="majorEastAsia" w:hint="eastAsia"/>
                <w:noProof/>
                <w:sz w:val="21"/>
                <w:szCs w:val="21"/>
              </w:rPr>
              <w:t>第四条 受案范围</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_Toc24795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1</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0905" w:history="1">
            <w:r w:rsidR="000E1BEE" w:rsidRPr="006A7585">
              <w:rPr>
                <w:rFonts w:asciiTheme="majorEastAsia" w:eastAsiaTheme="majorEastAsia" w:hAnsiTheme="majorEastAsia" w:hint="eastAsia"/>
                <w:noProof/>
                <w:sz w:val="21"/>
                <w:szCs w:val="21"/>
              </w:rPr>
              <w:t>第五条 规则适用</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_Toc10905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2</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7086" w:history="1">
            <w:r w:rsidR="000E1BEE" w:rsidRPr="006A7585">
              <w:rPr>
                <w:rFonts w:asciiTheme="majorEastAsia" w:eastAsiaTheme="majorEastAsia" w:hAnsiTheme="majorEastAsia" w:hint="eastAsia"/>
                <w:noProof/>
                <w:sz w:val="21"/>
                <w:szCs w:val="21"/>
              </w:rPr>
              <w:t>第六条 在线仲裁平台的使用</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_Toc27086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2</w:t>
            </w:r>
            <w:r w:rsidRPr="006A7585">
              <w:rPr>
                <w:rFonts w:asciiTheme="majorEastAsia" w:eastAsiaTheme="majorEastAsia" w:hAnsiTheme="majorEastAsia"/>
                <w:noProof/>
                <w:sz w:val="21"/>
                <w:szCs w:val="21"/>
              </w:rPr>
              <w:fldChar w:fldCharType="end"/>
            </w:r>
          </w:hyperlink>
        </w:p>
        <w:p w:rsidR="000E1BEE" w:rsidRPr="006A7585" w:rsidRDefault="00451F23">
          <w:pPr>
            <w:pStyle w:val="10"/>
            <w:tabs>
              <w:tab w:val="right" w:leader="dot" w:pos="8306"/>
            </w:tabs>
            <w:rPr>
              <w:rFonts w:asciiTheme="majorEastAsia" w:eastAsiaTheme="majorEastAsia" w:hAnsiTheme="majorEastAsia"/>
              <w:noProof/>
              <w:sz w:val="21"/>
              <w:szCs w:val="21"/>
            </w:rPr>
          </w:pPr>
          <w:hyperlink w:anchor="_Toc14546" w:history="1">
            <w:r w:rsidR="000E1BEE" w:rsidRPr="006A7585">
              <w:rPr>
                <w:rFonts w:asciiTheme="majorEastAsia" w:eastAsiaTheme="majorEastAsia" w:hAnsiTheme="majorEastAsia" w:hint="eastAsia"/>
                <w:noProof/>
                <w:sz w:val="21"/>
                <w:szCs w:val="21"/>
              </w:rPr>
              <w:t>第二章 文件的提交、发送与传输</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_Toc14546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2</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6403" w:history="1">
            <w:r w:rsidR="000E1BEE" w:rsidRPr="006A7585">
              <w:rPr>
                <w:rFonts w:asciiTheme="majorEastAsia" w:eastAsiaTheme="majorEastAsia" w:hAnsiTheme="majorEastAsia" w:hint="eastAsia"/>
                <w:noProof/>
                <w:sz w:val="21"/>
                <w:szCs w:val="21"/>
              </w:rPr>
              <w:t>第七条 身份认证</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_Toc16403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2</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6086" w:history="1">
            <w:r w:rsidR="000E1BEE" w:rsidRPr="006A7585">
              <w:rPr>
                <w:rFonts w:asciiTheme="majorEastAsia" w:eastAsiaTheme="majorEastAsia" w:hAnsiTheme="majorEastAsia" w:hint="eastAsia"/>
                <w:noProof/>
                <w:sz w:val="21"/>
                <w:szCs w:val="21"/>
              </w:rPr>
              <w:t xml:space="preserve">第八条 </w:t>
            </w:r>
            <w:r w:rsidR="000E1BEE" w:rsidRPr="006A7585">
              <w:rPr>
                <w:rFonts w:asciiTheme="majorEastAsia" w:eastAsiaTheme="majorEastAsia" w:hAnsiTheme="majorEastAsia"/>
                <w:noProof/>
                <w:sz w:val="21"/>
                <w:szCs w:val="21"/>
              </w:rPr>
              <w:t>材料的提交及</w:t>
            </w:r>
            <w:r w:rsidR="000E1BEE" w:rsidRPr="006A7585">
              <w:rPr>
                <w:rFonts w:asciiTheme="majorEastAsia" w:eastAsiaTheme="majorEastAsia" w:hAnsiTheme="majorEastAsia" w:hint="eastAsia"/>
                <w:noProof/>
                <w:sz w:val="21"/>
                <w:szCs w:val="21"/>
              </w:rPr>
              <w:t>发送</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_Toc16086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2</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8839" w:history="1">
            <w:r w:rsidR="000E1BEE" w:rsidRPr="006A7585">
              <w:rPr>
                <w:rFonts w:asciiTheme="majorEastAsia" w:eastAsiaTheme="majorEastAsia" w:hAnsiTheme="majorEastAsia" w:hint="eastAsia"/>
                <w:noProof/>
                <w:sz w:val="21"/>
                <w:szCs w:val="21"/>
              </w:rPr>
              <w:t>第九条 送达方式</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_Toc28839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3</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9926" w:history="1">
            <w:r w:rsidR="000E1BEE" w:rsidRPr="006A7585">
              <w:rPr>
                <w:rFonts w:asciiTheme="majorEastAsia" w:eastAsiaTheme="majorEastAsia" w:hAnsiTheme="majorEastAsia" w:hint="eastAsia"/>
                <w:noProof/>
                <w:sz w:val="21"/>
                <w:szCs w:val="21"/>
              </w:rPr>
              <w:t>第十条 电子送达地址</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_Toc19926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3</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0133" w:history="1">
            <w:r w:rsidR="000E1BEE" w:rsidRPr="006A7585">
              <w:rPr>
                <w:rFonts w:asciiTheme="majorEastAsia" w:eastAsiaTheme="majorEastAsia" w:hAnsiTheme="majorEastAsia" w:hint="eastAsia"/>
                <w:noProof/>
                <w:sz w:val="21"/>
                <w:szCs w:val="21"/>
              </w:rPr>
              <w:t>第十一条 数据传输安全保障</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_Toc10133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3</w:t>
            </w:r>
            <w:r w:rsidRPr="006A7585">
              <w:rPr>
                <w:rFonts w:asciiTheme="majorEastAsia" w:eastAsiaTheme="majorEastAsia" w:hAnsiTheme="majorEastAsia"/>
                <w:noProof/>
                <w:sz w:val="21"/>
                <w:szCs w:val="21"/>
              </w:rPr>
              <w:fldChar w:fldCharType="end"/>
            </w:r>
          </w:hyperlink>
        </w:p>
        <w:p w:rsidR="000E1BEE" w:rsidRPr="006A7585" w:rsidRDefault="00451F23">
          <w:pPr>
            <w:pStyle w:val="10"/>
            <w:tabs>
              <w:tab w:val="right" w:leader="dot" w:pos="8306"/>
            </w:tabs>
            <w:rPr>
              <w:rFonts w:asciiTheme="majorEastAsia" w:eastAsiaTheme="majorEastAsia" w:hAnsiTheme="majorEastAsia"/>
              <w:noProof/>
              <w:sz w:val="21"/>
              <w:szCs w:val="21"/>
            </w:rPr>
          </w:pPr>
          <w:hyperlink w:anchor="_Toc10974" w:history="1">
            <w:r w:rsidR="000E1BEE" w:rsidRPr="006A7585">
              <w:rPr>
                <w:rFonts w:asciiTheme="majorEastAsia" w:eastAsiaTheme="majorEastAsia" w:hAnsiTheme="majorEastAsia" w:hint="eastAsia"/>
                <w:noProof/>
                <w:sz w:val="21"/>
                <w:szCs w:val="21"/>
              </w:rPr>
              <w:t>第三章 申请和受理</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_Toc10974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4</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548" w:history="1">
            <w:r w:rsidR="000E1BEE" w:rsidRPr="006A7585">
              <w:rPr>
                <w:rFonts w:asciiTheme="majorEastAsia" w:eastAsiaTheme="majorEastAsia" w:hAnsiTheme="majorEastAsia" w:hint="eastAsia"/>
                <w:noProof/>
                <w:sz w:val="21"/>
                <w:szCs w:val="21"/>
              </w:rPr>
              <w:t>第十二条 申请仲裁</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_Toc548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4</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4798" w:history="1">
            <w:r w:rsidR="000E1BEE" w:rsidRPr="006A7585">
              <w:rPr>
                <w:rFonts w:asciiTheme="majorEastAsia" w:eastAsiaTheme="majorEastAsia" w:hAnsiTheme="majorEastAsia"/>
                <w:noProof/>
                <w:sz w:val="21"/>
                <w:szCs w:val="21"/>
              </w:rPr>
              <w:t>第十</w:t>
            </w:r>
            <w:r w:rsidR="000E1BEE" w:rsidRPr="006A7585">
              <w:rPr>
                <w:rFonts w:asciiTheme="majorEastAsia" w:eastAsiaTheme="majorEastAsia" w:hAnsiTheme="majorEastAsia" w:hint="eastAsia"/>
                <w:noProof/>
                <w:sz w:val="21"/>
                <w:szCs w:val="21"/>
              </w:rPr>
              <w:t>三</w:t>
            </w:r>
            <w:r w:rsidR="000E1BEE" w:rsidRPr="006A7585">
              <w:rPr>
                <w:rFonts w:asciiTheme="majorEastAsia" w:eastAsiaTheme="majorEastAsia" w:hAnsiTheme="majorEastAsia"/>
                <w:noProof/>
                <w:sz w:val="21"/>
                <w:szCs w:val="21"/>
              </w:rPr>
              <w:t>条 受理申请</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_Toc24798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4</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6188" w:history="1">
            <w:r w:rsidR="000E1BEE" w:rsidRPr="006A7585">
              <w:rPr>
                <w:rFonts w:asciiTheme="majorEastAsia" w:eastAsiaTheme="majorEastAsia" w:hAnsiTheme="majorEastAsia" w:hint="eastAsia"/>
                <w:noProof/>
                <w:sz w:val="21"/>
                <w:szCs w:val="21"/>
              </w:rPr>
              <w:t>第十四条 仲裁收费</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_Toc16188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4</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31728" w:history="1">
            <w:r w:rsidR="000E1BEE" w:rsidRPr="006A7585">
              <w:rPr>
                <w:rFonts w:asciiTheme="majorEastAsia" w:eastAsiaTheme="majorEastAsia" w:hAnsiTheme="majorEastAsia" w:hint="eastAsia"/>
                <w:noProof/>
                <w:sz w:val="21"/>
                <w:szCs w:val="21"/>
              </w:rPr>
              <w:t>第十五条 答辩</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_Toc31728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4</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0266" w:history="1">
            <w:r w:rsidR="000E1BEE" w:rsidRPr="006A7585">
              <w:rPr>
                <w:rFonts w:asciiTheme="majorEastAsia" w:eastAsiaTheme="majorEastAsia" w:hAnsiTheme="majorEastAsia" w:hint="eastAsia"/>
                <w:noProof/>
                <w:sz w:val="21"/>
                <w:szCs w:val="21"/>
              </w:rPr>
              <w:t>第十六条 反请求</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_Toc10266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4</w:t>
            </w:r>
            <w:r w:rsidRPr="006A7585">
              <w:rPr>
                <w:rFonts w:asciiTheme="majorEastAsia" w:eastAsiaTheme="majorEastAsia" w:hAnsiTheme="majorEastAsia"/>
                <w:noProof/>
                <w:sz w:val="21"/>
                <w:szCs w:val="21"/>
              </w:rPr>
              <w:fldChar w:fldCharType="end"/>
            </w:r>
          </w:hyperlink>
        </w:p>
        <w:p w:rsidR="000E1BEE" w:rsidRPr="006A7585" w:rsidRDefault="00451F23">
          <w:pPr>
            <w:pStyle w:val="10"/>
            <w:tabs>
              <w:tab w:val="right" w:leader="dot" w:pos="8306"/>
            </w:tabs>
            <w:rPr>
              <w:rFonts w:asciiTheme="majorEastAsia" w:eastAsiaTheme="majorEastAsia" w:hAnsiTheme="majorEastAsia"/>
              <w:noProof/>
              <w:sz w:val="21"/>
              <w:szCs w:val="21"/>
            </w:rPr>
          </w:pPr>
          <w:hyperlink w:anchor="_Toc32704" w:history="1">
            <w:r w:rsidR="000E1BEE" w:rsidRPr="006A7585">
              <w:rPr>
                <w:rFonts w:asciiTheme="majorEastAsia" w:eastAsiaTheme="majorEastAsia" w:hAnsiTheme="majorEastAsia" w:hint="eastAsia"/>
                <w:noProof/>
                <w:sz w:val="21"/>
                <w:szCs w:val="21"/>
              </w:rPr>
              <w:t>第四章证据</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_Toc32704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5</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7056" w:history="1">
            <w:r w:rsidR="000E1BEE" w:rsidRPr="006A7585">
              <w:rPr>
                <w:rFonts w:asciiTheme="majorEastAsia" w:eastAsiaTheme="majorEastAsia" w:hAnsiTheme="majorEastAsia" w:hint="eastAsia"/>
                <w:noProof/>
                <w:sz w:val="21"/>
                <w:szCs w:val="21"/>
              </w:rPr>
              <w:t>第十七条 证据提交</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_Toc7056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5</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31302" w:history="1">
            <w:r w:rsidR="000E1BEE" w:rsidRPr="006A7585">
              <w:rPr>
                <w:rFonts w:asciiTheme="majorEastAsia" w:eastAsiaTheme="majorEastAsia" w:hAnsiTheme="majorEastAsia" w:hint="eastAsia"/>
                <w:noProof/>
                <w:sz w:val="21"/>
                <w:szCs w:val="21"/>
              </w:rPr>
              <w:t>第十八条 证据调取</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_Toc31302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5</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4439" w:history="1">
            <w:r w:rsidR="000E1BEE" w:rsidRPr="006A7585">
              <w:rPr>
                <w:rFonts w:asciiTheme="majorEastAsia" w:eastAsiaTheme="majorEastAsia" w:hAnsiTheme="majorEastAsia" w:hint="eastAsia"/>
                <w:noProof/>
                <w:sz w:val="21"/>
                <w:szCs w:val="21"/>
              </w:rPr>
              <w:t>第十九条 电子数据认定</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_Toc14439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5</w:t>
            </w:r>
            <w:r w:rsidRPr="006A7585">
              <w:rPr>
                <w:rFonts w:asciiTheme="majorEastAsia" w:eastAsiaTheme="majorEastAsia" w:hAnsiTheme="majorEastAsia"/>
                <w:noProof/>
                <w:sz w:val="21"/>
                <w:szCs w:val="21"/>
              </w:rPr>
              <w:fldChar w:fldCharType="end"/>
            </w:r>
          </w:hyperlink>
        </w:p>
        <w:p w:rsidR="000E1BEE" w:rsidRPr="006A7585" w:rsidRDefault="00451F23">
          <w:pPr>
            <w:pStyle w:val="10"/>
            <w:tabs>
              <w:tab w:val="right" w:leader="dot" w:pos="8306"/>
            </w:tabs>
            <w:rPr>
              <w:rFonts w:asciiTheme="majorEastAsia" w:eastAsiaTheme="majorEastAsia" w:hAnsiTheme="majorEastAsia"/>
              <w:noProof/>
              <w:sz w:val="21"/>
              <w:szCs w:val="21"/>
            </w:rPr>
          </w:pPr>
          <w:hyperlink w:anchor="_Toc23851" w:history="1">
            <w:r w:rsidR="000E1BEE" w:rsidRPr="006A7585">
              <w:rPr>
                <w:rFonts w:asciiTheme="majorEastAsia" w:eastAsiaTheme="majorEastAsia" w:hAnsiTheme="majorEastAsia" w:hint="eastAsia"/>
                <w:noProof/>
                <w:sz w:val="21"/>
                <w:szCs w:val="21"/>
              </w:rPr>
              <w:t>第五章 组庭、开庭和裁决</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_Toc23851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5</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8327" w:history="1">
            <w:r w:rsidR="000E1BEE" w:rsidRPr="006A7585">
              <w:rPr>
                <w:rFonts w:asciiTheme="majorEastAsia" w:eastAsiaTheme="majorEastAsia" w:hAnsiTheme="majorEastAsia" w:hint="eastAsia"/>
                <w:noProof/>
                <w:sz w:val="21"/>
                <w:szCs w:val="21"/>
              </w:rPr>
              <w:t>第二十条 仲裁庭的组成</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_Toc18327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5</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23449" w:history="1">
            <w:r w:rsidR="000E1BEE" w:rsidRPr="006A7585">
              <w:rPr>
                <w:rFonts w:asciiTheme="majorEastAsia" w:eastAsiaTheme="majorEastAsia" w:hAnsiTheme="majorEastAsia" w:hint="eastAsia"/>
                <w:noProof/>
                <w:sz w:val="21"/>
                <w:szCs w:val="21"/>
              </w:rPr>
              <w:t>第二十一条 审理方式</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_Toc23449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6</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9823" w:history="1">
            <w:r w:rsidR="000E1BEE" w:rsidRPr="006A7585">
              <w:rPr>
                <w:rFonts w:asciiTheme="majorEastAsia" w:eastAsiaTheme="majorEastAsia" w:hAnsiTheme="majorEastAsia" w:hint="eastAsia"/>
                <w:noProof/>
                <w:sz w:val="21"/>
                <w:szCs w:val="21"/>
              </w:rPr>
              <w:t>第二十三条 程序转换</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_Toc19823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6</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4149" w:history="1">
            <w:r w:rsidR="000E1BEE" w:rsidRPr="006A7585">
              <w:rPr>
                <w:rFonts w:asciiTheme="majorEastAsia" w:eastAsiaTheme="majorEastAsia" w:hAnsiTheme="majorEastAsia" w:hint="eastAsia"/>
                <w:noProof/>
                <w:sz w:val="21"/>
                <w:szCs w:val="21"/>
              </w:rPr>
              <w:t>第二十四条 结案方式</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_Toc14149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6</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8430" w:history="1">
            <w:r w:rsidR="000E1BEE" w:rsidRPr="006A7585">
              <w:rPr>
                <w:rFonts w:asciiTheme="majorEastAsia" w:eastAsiaTheme="majorEastAsia" w:hAnsiTheme="majorEastAsia" w:hint="eastAsia"/>
                <w:noProof/>
                <w:sz w:val="21"/>
                <w:szCs w:val="21"/>
              </w:rPr>
              <w:t>第二十五条 裁决文书及送达</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_Toc8430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6</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32488" w:history="1">
            <w:r w:rsidR="000E1BEE" w:rsidRPr="006A7585">
              <w:rPr>
                <w:rFonts w:asciiTheme="majorEastAsia" w:eastAsiaTheme="majorEastAsia" w:hAnsiTheme="majorEastAsia" w:hint="eastAsia"/>
                <w:noProof/>
                <w:sz w:val="21"/>
                <w:szCs w:val="21"/>
              </w:rPr>
              <w:t>第二十六条 签名</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_Toc32488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7</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8909" w:history="1">
            <w:r w:rsidR="000E1BEE" w:rsidRPr="006A7585">
              <w:rPr>
                <w:rFonts w:asciiTheme="majorEastAsia" w:eastAsiaTheme="majorEastAsia" w:hAnsiTheme="majorEastAsia" w:hint="eastAsia"/>
                <w:noProof/>
                <w:sz w:val="21"/>
                <w:szCs w:val="21"/>
              </w:rPr>
              <w:t>第二十七条 电子笔录</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_Toc8909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7</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4498" w:history="1">
            <w:r w:rsidR="000E1BEE" w:rsidRPr="006A7585">
              <w:rPr>
                <w:rFonts w:asciiTheme="majorEastAsia" w:eastAsiaTheme="majorEastAsia" w:hAnsiTheme="majorEastAsia" w:hint="eastAsia"/>
                <w:noProof/>
                <w:sz w:val="21"/>
                <w:szCs w:val="21"/>
              </w:rPr>
              <w:t>第二十八条 电子卷宗</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_Toc4498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7</w:t>
            </w:r>
            <w:r w:rsidRPr="006A7585">
              <w:rPr>
                <w:rFonts w:asciiTheme="majorEastAsia" w:eastAsiaTheme="majorEastAsia" w:hAnsiTheme="majorEastAsia"/>
                <w:noProof/>
                <w:sz w:val="21"/>
                <w:szCs w:val="21"/>
              </w:rPr>
              <w:fldChar w:fldCharType="end"/>
            </w:r>
          </w:hyperlink>
        </w:p>
        <w:p w:rsidR="000E1BEE" w:rsidRPr="006A7585" w:rsidRDefault="00451F23">
          <w:pPr>
            <w:pStyle w:val="10"/>
            <w:tabs>
              <w:tab w:val="right" w:leader="dot" w:pos="8306"/>
            </w:tabs>
            <w:rPr>
              <w:rFonts w:asciiTheme="majorEastAsia" w:eastAsiaTheme="majorEastAsia" w:hAnsiTheme="majorEastAsia"/>
              <w:noProof/>
              <w:sz w:val="21"/>
              <w:szCs w:val="21"/>
            </w:rPr>
          </w:pPr>
          <w:hyperlink w:anchor="_Toc14871" w:history="1">
            <w:r w:rsidR="000E1BEE" w:rsidRPr="006A7585">
              <w:rPr>
                <w:rFonts w:asciiTheme="majorEastAsia" w:eastAsiaTheme="majorEastAsia" w:hAnsiTheme="majorEastAsia" w:hint="eastAsia"/>
                <w:noProof/>
                <w:sz w:val="21"/>
                <w:szCs w:val="21"/>
              </w:rPr>
              <w:t>第六章 附则</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_Toc14871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7</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5494" w:history="1">
            <w:r w:rsidR="000E1BEE" w:rsidRPr="006A7585">
              <w:rPr>
                <w:rFonts w:asciiTheme="majorEastAsia" w:eastAsiaTheme="majorEastAsia" w:hAnsiTheme="majorEastAsia" w:hint="eastAsia"/>
                <w:noProof/>
                <w:sz w:val="21"/>
                <w:szCs w:val="21"/>
              </w:rPr>
              <w:t>第二十九条 规则解释</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_Toc5494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7</w:t>
            </w:r>
            <w:r w:rsidRPr="006A7585">
              <w:rPr>
                <w:rFonts w:asciiTheme="majorEastAsia" w:eastAsiaTheme="majorEastAsia" w:hAnsiTheme="majorEastAsia"/>
                <w:noProof/>
                <w:sz w:val="21"/>
                <w:szCs w:val="21"/>
              </w:rPr>
              <w:fldChar w:fldCharType="end"/>
            </w:r>
          </w:hyperlink>
        </w:p>
        <w:p w:rsidR="000E1BEE" w:rsidRPr="006A7585" w:rsidRDefault="00451F23">
          <w:pPr>
            <w:pStyle w:val="20"/>
            <w:tabs>
              <w:tab w:val="right" w:leader="dot" w:pos="8306"/>
            </w:tabs>
            <w:rPr>
              <w:rFonts w:asciiTheme="majorEastAsia" w:eastAsiaTheme="majorEastAsia" w:hAnsiTheme="majorEastAsia"/>
              <w:noProof/>
              <w:sz w:val="21"/>
              <w:szCs w:val="21"/>
            </w:rPr>
          </w:pPr>
          <w:hyperlink w:anchor="_Toc10818" w:history="1">
            <w:r w:rsidR="000E1BEE" w:rsidRPr="006A7585">
              <w:rPr>
                <w:rFonts w:asciiTheme="majorEastAsia" w:eastAsiaTheme="majorEastAsia" w:hAnsiTheme="majorEastAsia" w:hint="eastAsia"/>
                <w:noProof/>
                <w:sz w:val="21"/>
                <w:szCs w:val="21"/>
              </w:rPr>
              <w:t>第三十条 规则施行</w:t>
            </w:r>
            <w:r w:rsidR="000E1BEE" w:rsidRPr="006A7585">
              <w:rPr>
                <w:rFonts w:asciiTheme="majorEastAsia" w:eastAsiaTheme="majorEastAsia" w:hAnsiTheme="majorEastAsia"/>
                <w:noProof/>
                <w:sz w:val="21"/>
                <w:szCs w:val="21"/>
              </w:rPr>
              <w:tab/>
            </w:r>
            <w:r w:rsidRPr="006A7585">
              <w:rPr>
                <w:rFonts w:asciiTheme="majorEastAsia" w:eastAsiaTheme="majorEastAsia" w:hAnsiTheme="majorEastAsia"/>
                <w:noProof/>
                <w:sz w:val="21"/>
                <w:szCs w:val="21"/>
              </w:rPr>
              <w:fldChar w:fldCharType="begin"/>
            </w:r>
            <w:r w:rsidR="000E1BEE" w:rsidRPr="006A7585">
              <w:rPr>
                <w:rFonts w:asciiTheme="majorEastAsia" w:eastAsiaTheme="majorEastAsia" w:hAnsiTheme="majorEastAsia"/>
                <w:noProof/>
                <w:sz w:val="21"/>
                <w:szCs w:val="21"/>
              </w:rPr>
              <w:instrText xml:space="preserve"> PAGEREF _Toc10818 </w:instrText>
            </w:r>
            <w:r w:rsidRPr="006A7585">
              <w:rPr>
                <w:rFonts w:asciiTheme="majorEastAsia" w:eastAsiaTheme="majorEastAsia" w:hAnsiTheme="majorEastAsia"/>
                <w:noProof/>
                <w:sz w:val="21"/>
                <w:szCs w:val="21"/>
              </w:rPr>
              <w:fldChar w:fldCharType="separate"/>
            </w:r>
            <w:r w:rsidR="003F2046">
              <w:rPr>
                <w:rFonts w:asciiTheme="majorEastAsia" w:eastAsiaTheme="majorEastAsia" w:hAnsiTheme="majorEastAsia"/>
                <w:noProof/>
                <w:sz w:val="21"/>
                <w:szCs w:val="21"/>
              </w:rPr>
              <w:t>7</w:t>
            </w:r>
            <w:r w:rsidRPr="006A7585">
              <w:rPr>
                <w:rFonts w:asciiTheme="majorEastAsia" w:eastAsiaTheme="majorEastAsia" w:hAnsiTheme="majorEastAsia"/>
                <w:noProof/>
                <w:sz w:val="21"/>
                <w:szCs w:val="21"/>
              </w:rPr>
              <w:fldChar w:fldCharType="end"/>
            </w:r>
          </w:hyperlink>
        </w:p>
        <w:p w:rsidR="003B6206" w:rsidRPr="000321E0" w:rsidRDefault="00451F23">
          <w:pPr>
            <w:rPr>
              <w:rFonts w:asciiTheme="majorEastAsia" w:eastAsiaTheme="majorEastAsia" w:hAnsiTheme="majorEastAsia"/>
            </w:rPr>
          </w:pPr>
          <w:r w:rsidRPr="006A7585">
            <w:rPr>
              <w:rFonts w:asciiTheme="majorEastAsia" w:eastAsiaTheme="majorEastAsia" w:hAnsiTheme="majorEastAsia"/>
              <w:szCs w:val="21"/>
            </w:rPr>
            <w:fldChar w:fldCharType="end"/>
          </w:r>
        </w:p>
      </w:sdtContent>
    </w:sdt>
    <w:p w:rsidR="003B6206" w:rsidRPr="000321E0" w:rsidRDefault="003B6206">
      <w:pPr>
        <w:rPr>
          <w:rFonts w:asciiTheme="majorEastAsia" w:eastAsiaTheme="majorEastAsia" w:hAnsiTheme="majorEastAsia"/>
          <w:sz w:val="32"/>
          <w:szCs w:val="32"/>
        </w:rPr>
      </w:pPr>
      <w:bookmarkStart w:id="0" w:name="_Toc9002"/>
    </w:p>
    <w:p w:rsidR="003B6206" w:rsidRPr="000321E0" w:rsidRDefault="003B6206">
      <w:pPr>
        <w:rPr>
          <w:rFonts w:asciiTheme="majorEastAsia" w:eastAsiaTheme="majorEastAsia" w:hAnsiTheme="majorEastAsia"/>
          <w:sz w:val="32"/>
          <w:szCs w:val="32"/>
        </w:rPr>
      </w:pPr>
    </w:p>
    <w:p w:rsidR="003B6206" w:rsidRPr="000321E0" w:rsidRDefault="00DA4404" w:rsidP="00E2263F">
      <w:pPr>
        <w:widowControl/>
        <w:jc w:val="left"/>
        <w:rPr>
          <w:rFonts w:asciiTheme="majorEastAsia" w:eastAsiaTheme="majorEastAsia" w:hAnsiTheme="majorEastAsia"/>
          <w:sz w:val="32"/>
          <w:szCs w:val="32"/>
        </w:rPr>
      </w:pPr>
      <w:r w:rsidRPr="000321E0">
        <w:rPr>
          <w:rFonts w:asciiTheme="majorEastAsia" w:eastAsiaTheme="majorEastAsia" w:hAnsiTheme="majorEastAsia"/>
          <w:sz w:val="32"/>
          <w:szCs w:val="32"/>
        </w:rPr>
        <w:br w:type="page"/>
      </w:r>
    </w:p>
    <w:p w:rsidR="000C1CC4" w:rsidRDefault="000C1CC4" w:rsidP="0028516C">
      <w:pPr>
        <w:widowControl/>
        <w:spacing w:beforeLines="20" w:afterLines="20"/>
        <w:jc w:val="center"/>
        <w:rPr>
          <w:rFonts w:asciiTheme="majorEastAsia" w:eastAsiaTheme="majorEastAsia" w:hAnsiTheme="majorEastAsia"/>
          <w:b/>
          <w:sz w:val="32"/>
          <w:szCs w:val="32"/>
        </w:rPr>
        <w:sectPr w:rsidR="000C1CC4" w:rsidSect="00DA4404">
          <w:pgSz w:w="11906" w:h="16838"/>
          <w:pgMar w:top="1440" w:right="1800" w:bottom="1440" w:left="1800" w:header="851" w:footer="992" w:gutter="0"/>
          <w:pgNumType w:start="1"/>
          <w:cols w:space="425"/>
          <w:docGrid w:type="lines" w:linePitch="312"/>
        </w:sectPr>
      </w:pPr>
    </w:p>
    <w:p w:rsidR="003B6206" w:rsidRPr="00E972EC" w:rsidRDefault="001015D7" w:rsidP="0028516C">
      <w:pPr>
        <w:widowControl/>
        <w:spacing w:beforeLines="20" w:afterLines="20"/>
        <w:jc w:val="center"/>
        <w:rPr>
          <w:rFonts w:asciiTheme="majorEastAsia" w:eastAsiaTheme="majorEastAsia" w:hAnsiTheme="majorEastAsia"/>
          <w:b/>
          <w:bCs/>
          <w:kern w:val="44"/>
          <w:sz w:val="32"/>
          <w:szCs w:val="32"/>
        </w:rPr>
      </w:pPr>
      <w:r w:rsidRPr="00E972EC">
        <w:rPr>
          <w:rFonts w:asciiTheme="majorEastAsia" w:eastAsiaTheme="majorEastAsia" w:hAnsiTheme="majorEastAsia" w:hint="eastAsia"/>
          <w:b/>
          <w:sz w:val="32"/>
          <w:szCs w:val="32"/>
        </w:rPr>
        <w:lastRenderedPageBreak/>
        <w:t>第一章 总则</w:t>
      </w:r>
      <w:bookmarkEnd w:id="0"/>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 w:name="_Toc20127"/>
      <w:r w:rsidRPr="000321E0">
        <w:rPr>
          <w:rFonts w:asciiTheme="majorEastAsia" w:hAnsiTheme="majorEastAsia" w:hint="eastAsia"/>
          <w:sz w:val="21"/>
          <w:szCs w:val="21"/>
        </w:rPr>
        <w:t>第一条 制定目的及依据</w:t>
      </w:r>
      <w:bookmarkEnd w:id="1"/>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为了以互联网在线仲裁方式公正、快速地解决互联网民商事纠纷，保护互联网上当事人的合法权益，宁波仲裁委员会（以下简称本委）根据《中华人民共和国仲裁法》、《宁波仲裁委员会仲裁规则》的规定，结合互联网民商事纠纷案件的特点，制定本规则。</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 w:name="_Toc1953"/>
      <w:r w:rsidRPr="000321E0">
        <w:rPr>
          <w:rFonts w:asciiTheme="majorEastAsia" w:hAnsiTheme="majorEastAsia" w:hint="eastAsia"/>
          <w:sz w:val="21"/>
          <w:szCs w:val="21"/>
        </w:rPr>
        <w:t>第二条 互联网在线仲裁定义</w:t>
      </w:r>
      <w:bookmarkEnd w:id="2"/>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互联网在线仲裁是指在宁波仲裁委员会互联网在线仲裁平台上开展仲裁程序的争议解决方法，在线仲裁案件的全部程序从受理</w:t>
      </w:r>
      <w:r w:rsidR="00A71EB3" w:rsidRPr="000321E0">
        <w:rPr>
          <w:rFonts w:asciiTheme="majorEastAsia" w:eastAsiaTheme="majorEastAsia" w:hAnsiTheme="majorEastAsia" w:hint="eastAsia"/>
          <w:szCs w:val="21"/>
        </w:rPr>
        <w:t>、立案</w:t>
      </w:r>
      <w:r w:rsidRPr="000321E0">
        <w:rPr>
          <w:rFonts w:asciiTheme="majorEastAsia" w:eastAsiaTheme="majorEastAsia" w:hAnsiTheme="majorEastAsia" w:hint="eastAsia"/>
          <w:szCs w:val="21"/>
        </w:rPr>
        <w:t>、答辩、举证、组庭、开庭、送达、裁决等均在线上进行。</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3" w:name="_Toc24937"/>
      <w:bookmarkStart w:id="4" w:name="_Toc512612036"/>
      <w:r w:rsidRPr="000321E0">
        <w:rPr>
          <w:rFonts w:asciiTheme="majorEastAsia" w:hAnsiTheme="majorEastAsia" w:hint="eastAsia"/>
          <w:sz w:val="21"/>
          <w:szCs w:val="21"/>
        </w:rPr>
        <w:t>第三条 本规则术语的含义</w:t>
      </w:r>
      <w:bookmarkEnd w:id="3"/>
      <w:bookmarkEnd w:id="4"/>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（一）互联网在线仲裁平台（以下简称在线仲裁平台）是指</w:t>
      </w:r>
      <w:r w:rsidR="00B318FB">
        <w:rPr>
          <w:rFonts w:asciiTheme="majorEastAsia" w:eastAsiaTheme="majorEastAsia" w:hAnsiTheme="majorEastAsia" w:hint="eastAsia"/>
          <w:szCs w:val="21"/>
        </w:rPr>
        <w:t>本委</w:t>
      </w:r>
      <w:r w:rsidRPr="000321E0">
        <w:rPr>
          <w:rFonts w:asciiTheme="majorEastAsia" w:eastAsiaTheme="majorEastAsia" w:hAnsiTheme="majorEastAsia" w:hint="eastAsia"/>
          <w:szCs w:val="21"/>
        </w:rPr>
        <w:t>建立的从事网上解决纠纷的专门平台。</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（二）电子数据是指通过电子邮件、电子数据交换、网上聊天记录、手机短信、电子签名、域名等形成或者存储在电子介质中的信息。</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（三）电子签名是指数据电文中以电子形式所含、所附用于识别签名人身份并表明签名人认可其中内容的数据。</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（四）网上开庭是指以网络视频庭审或者其他电子通讯形式所进行的庭审活动。</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（五）线上是指网络上，主要指利用互联网等虚拟媒介进行的活动；线下是指真实发生的现实中的活动。</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5" w:name="_Toc24795"/>
      <w:r w:rsidRPr="000321E0">
        <w:rPr>
          <w:rFonts w:asciiTheme="majorEastAsia" w:hAnsiTheme="majorEastAsia" w:hint="eastAsia"/>
          <w:sz w:val="21"/>
          <w:szCs w:val="21"/>
        </w:rPr>
        <w:t>第四条 受案范围</w:t>
      </w:r>
      <w:bookmarkEnd w:id="5"/>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本委在线仲裁平台受理互联网上平等主体之间的网上交易、网上服务等活动中发生的争议。包括但不限于如下争议：</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（一）通过电子商务平台签订或者履行网络购物合同而产生的纠纷；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（二）签订、履行行为均在互联网上完成的网络服务合同纠纷；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（三）签订、履行行为均在互联网上完成的金融借款合同纠纷、小额借款合同纠纷；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（四）在互联网上首次发表作品的著作权或者邻接权权属纠纷；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（五）在互联网上侵害在线发表或者传播作品的著作权或者邻接权而产生的纠纷；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（六）互联网域名权属、侵权及合同纠纷；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（七）在互联网上侵害他人人身权、财产权等民事权益而产生的纠纷；</w:t>
      </w:r>
    </w:p>
    <w:p w:rsidR="00E972EC"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（八）通过电子商务平台购买的产品，因存在产品缺陷，侵害他人人身、财产权益而产生的产品责任纠纷；</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（九）其他互联网民事商事争议案件。</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6" w:name="_Toc10905"/>
      <w:r w:rsidRPr="000321E0">
        <w:rPr>
          <w:rFonts w:asciiTheme="majorEastAsia" w:hAnsiTheme="majorEastAsia" w:hint="eastAsia"/>
          <w:sz w:val="21"/>
          <w:szCs w:val="21"/>
        </w:rPr>
        <w:lastRenderedPageBreak/>
        <w:t>第五条 规则适用</w:t>
      </w:r>
      <w:bookmarkEnd w:id="6"/>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（一）本委在线仲裁平台办理</w:t>
      </w:r>
      <w:r w:rsidR="009415BA">
        <w:rPr>
          <w:rFonts w:asciiTheme="majorEastAsia" w:eastAsiaTheme="majorEastAsia" w:hAnsiTheme="majorEastAsia" w:hint="eastAsia"/>
          <w:szCs w:val="21"/>
        </w:rPr>
        <w:t>的</w:t>
      </w:r>
      <w:r w:rsidRPr="000321E0">
        <w:rPr>
          <w:rFonts w:asciiTheme="majorEastAsia" w:eastAsiaTheme="majorEastAsia" w:hAnsiTheme="majorEastAsia" w:hint="eastAsia"/>
          <w:szCs w:val="21"/>
        </w:rPr>
        <w:t>民商事争议案件，适用本规则。</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（二）本委受理的互联网民商事争议案件，除当事人另有约定外，适用本规则。当事人对争议案件是否属于互联网争议案件提出异议，或者当事人对案件是否适用本规则提出异议，由本委决定。</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（三）当事人约定对本规则有关内容进行变更的，从其约定，但其约定无法实施或与法律强制性规定相抵触者除外。</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（四）当事人约定按照本规则进行仲裁但未约定仲裁机构的，视为同意将争议提交本委仲裁。</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（五）当事人约定将争议提交本委通过在线仲裁（或者称电子仲裁、网络仲裁、线上仲裁、网上仲裁、互联网仲裁等）解决的，视为同意按照本规则进行仲裁。</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（六）双方当事人约定按照本规则仲裁的其他纠纷，本委认为适合通过在线仲裁平台仲裁的，适用本规则；本委认为不适合通过在线仲裁平台上仲裁，应当适用本委相应的其他仲裁规则。</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（七）已按本规则线上受理的案件，本委认为不适合采用互联网在线仲裁方式仲裁或双方当事人同意转为线下仲裁的，应转为线下并按相应仲裁规则办理。线上已进行的程序，由本委或仲裁庭决定是否重新进行。</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本规则与本委《宁波仲裁委员会仲裁规则》不一致的，适用本规则；本规则未涉及的，适用本委《宁波仲裁委员会仲裁规则》的有关规定。当事人另有约定的除外。</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7" w:name="_Toc27086"/>
      <w:r w:rsidRPr="000321E0">
        <w:rPr>
          <w:rFonts w:asciiTheme="majorEastAsia" w:hAnsiTheme="majorEastAsia" w:hint="eastAsia"/>
          <w:sz w:val="21"/>
          <w:szCs w:val="21"/>
        </w:rPr>
        <w:t>第六条 在线仲裁平台的使用</w:t>
      </w:r>
      <w:bookmarkEnd w:id="7"/>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（一）本规则项下的仲裁活动，均在本委在线仲裁平台线上进行。</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（二）当事人订立互联网在线仲裁协议的，视为具备按照本规则进行互联网仲裁所必须的能力和设备条件（包括但不限于使用互联网在线仲裁平台、收发电子邮件、使用移动通信工具、参加网络视频庭审）。</w:t>
      </w:r>
    </w:p>
    <w:p w:rsidR="003B6206" w:rsidRPr="000321E0" w:rsidRDefault="001015D7" w:rsidP="0028516C">
      <w:pPr>
        <w:pStyle w:val="1"/>
        <w:spacing w:beforeLines="20" w:afterLines="20"/>
        <w:ind w:firstLineChars="200" w:firstLine="643"/>
        <w:jc w:val="center"/>
        <w:rPr>
          <w:rFonts w:asciiTheme="majorEastAsia" w:eastAsiaTheme="majorEastAsia" w:hAnsiTheme="majorEastAsia"/>
          <w:sz w:val="32"/>
          <w:szCs w:val="32"/>
        </w:rPr>
      </w:pPr>
      <w:bookmarkStart w:id="8" w:name="_Toc14546"/>
      <w:r w:rsidRPr="000321E0">
        <w:rPr>
          <w:rFonts w:asciiTheme="majorEastAsia" w:eastAsiaTheme="majorEastAsia" w:hAnsiTheme="majorEastAsia" w:hint="eastAsia"/>
          <w:sz w:val="32"/>
          <w:szCs w:val="32"/>
        </w:rPr>
        <w:t>第二章 文件的提交、发送与传输</w:t>
      </w:r>
      <w:bookmarkEnd w:id="8"/>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9" w:name="_Toc16403"/>
      <w:r w:rsidRPr="000321E0">
        <w:rPr>
          <w:rFonts w:asciiTheme="majorEastAsia" w:hAnsiTheme="majorEastAsia" w:hint="eastAsia"/>
          <w:sz w:val="21"/>
          <w:szCs w:val="21"/>
        </w:rPr>
        <w:t>第七条 身份认证</w:t>
      </w:r>
      <w:bookmarkEnd w:id="9"/>
    </w:p>
    <w:p w:rsidR="003B6206" w:rsidRPr="000321E0" w:rsidRDefault="001015D7" w:rsidP="004F0C76">
      <w:pPr>
        <w:ind w:firstLineChars="200" w:firstLine="420"/>
        <w:rPr>
          <w:rFonts w:asciiTheme="majorEastAsia" w:eastAsiaTheme="majorEastAsia" w:hAnsiTheme="majorEastAsia"/>
        </w:rPr>
      </w:pPr>
      <w:r w:rsidRPr="000321E0">
        <w:rPr>
          <w:rFonts w:asciiTheme="majorEastAsia" w:eastAsiaTheme="majorEastAsia" w:hAnsiTheme="majorEastAsia" w:hint="eastAsia"/>
          <w:szCs w:val="21"/>
        </w:rPr>
        <w:t>当事人及其他仲裁参与人使用在线仲裁平台实施仲裁行为的，应当通过证件照比对、生物特征识别或者国家统一身份认证平台认证等在线方式完成身份认证，并取得登录在线平台的专用帐号。</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0" w:name="_Toc16086"/>
      <w:r w:rsidRPr="000321E0">
        <w:rPr>
          <w:rFonts w:asciiTheme="majorEastAsia" w:hAnsiTheme="majorEastAsia" w:hint="eastAsia"/>
          <w:sz w:val="21"/>
          <w:szCs w:val="21"/>
        </w:rPr>
        <w:t xml:space="preserve">第八条 </w:t>
      </w:r>
      <w:r w:rsidRPr="000321E0">
        <w:rPr>
          <w:rFonts w:asciiTheme="majorEastAsia" w:hAnsiTheme="majorEastAsia"/>
          <w:sz w:val="21"/>
          <w:szCs w:val="21"/>
        </w:rPr>
        <w:t>材料的提交及</w:t>
      </w:r>
      <w:r w:rsidRPr="000321E0">
        <w:rPr>
          <w:rFonts w:asciiTheme="majorEastAsia" w:hAnsiTheme="majorEastAsia" w:hint="eastAsia"/>
          <w:sz w:val="21"/>
          <w:szCs w:val="21"/>
        </w:rPr>
        <w:t>发送</w:t>
      </w:r>
      <w:bookmarkEnd w:id="10"/>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材料提交或者发送应当符合下列要求：</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（一）当事人的材料应当通过本委在线仲裁平台提交。当事人提交的材料，应当可以随时调阅且可以由本委向另一方当事人转发；</w:t>
      </w:r>
      <w:r w:rsidRPr="000321E0">
        <w:rPr>
          <w:rFonts w:asciiTheme="majorEastAsia" w:eastAsiaTheme="majorEastAsia" w:hAnsiTheme="majorEastAsia"/>
          <w:szCs w:val="21"/>
        </w:rPr>
        <w:t>各方可以通过本委</w:t>
      </w:r>
      <w:r w:rsidRPr="000321E0">
        <w:rPr>
          <w:rFonts w:asciiTheme="majorEastAsia" w:eastAsiaTheme="majorEastAsia" w:hAnsiTheme="majorEastAsia" w:hint="eastAsia"/>
          <w:szCs w:val="21"/>
        </w:rPr>
        <w:t>在线</w:t>
      </w:r>
      <w:r w:rsidRPr="000321E0">
        <w:rPr>
          <w:rFonts w:asciiTheme="majorEastAsia" w:eastAsiaTheme="majorEastAsia" w:hAnsiTheme="majorEastAsia"/>
          <w:szCs w:val="21"/>
        </w:rPr>
        <w:t>仲裁平台查看相关仲裁材料。</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（二）任何一方当事人或者其代理人均不得与仲裁员进行单方联络。当事人与仲裁庭之</w:t>
      </w:r>
      <w:r w:rsidRPr="000321E0">
        <w:rPr>
          <w:rFonts w:asciiTheme="majorEastAsia" w:eastAsiaTheme="majorEastAsia" w:hAnsiTheme="majorEastAsia" w:hint="eastAsia"/>
          <w:szCs w:val="21"/>
        </w:rPr>
        <w:lastRenderedPageBreak/>
        <w:t>间的所有联络均应当通过本委及本平台进行；</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（三）材料发送方有义务为其发送的材料保留记录，以记载有关材料发送的具体事实和情况，供有关当事人查阅；</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 xml:space="preserve">（四）当发送文件的一方当事人收到通知，被告知未收到其所发送的文件时，或者发送文件的当事人自己认为未能成功地发送有关文件时，该当事人应当立即将有关情况通知本委。此后，任何文件的发送与回复均应当依照本委的指示进行； </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（五）任何一方当事人如变更其通讯方式或地址，或者更新其他联络信息，均应当及时通知本委。</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1" w:name="_Toc28839"/>
      <w:r w:rsidRPr="000321E0">
        <w:rPr>
          <w:rFonts w:asciiTheme="majorEastAsia" w:hAnsiTheme="majorEastAsia" w:hint="eastAsia"/>
          <w:sz w:val="21"/>
          <w:szCs w:val="21"/>
        </w:rPr>
        <w:t>第九条 送达方式</w:t>
      </w:r>
      <w:bookmarkEnd w:id="11"/>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w:t>
      </w:r>
      <w:r w:rsidRPr="000321E0">
        <w:rPr>
          <w:rFonts w:asciiTheme="majorEastAsia" w:eastAsiaTheme="majorEastAsia" w:hAnsiTheme="majorEastAsia"/>
          <w:szCs w:val="21"/>
        </w:rPr>
        <w:t>本规则项下的仲裁文书采用电子送达方式送达。</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二）电子送达可以采用电子邮件、移动通信、传真等即时收悉的特定系统作为送达媒介。本委对应系统显示的电子邮件、手机短信等发送成功的日期为送达日期，但受送达人证明到达其特定系统的日期与本委对应系统显示发送成功的日期不一致的，以受送达人证明到达其特定系统的日期为准。</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（三）本委采用多种电子送达方式向当事人送达仲裁文书的，以最早成功送达的日期为送达日期。</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（四）本委在向受送达人发送电子邮件时，可以通过</w:t>
      </w:r>
      <w:r w:rsidRPr="000321E0">
        <w:rPr>
          <w:rFonts w:asciiTheme="majorEastAsia" w:eastAsiaTheme="majorEastAsia" w:hAnsiTheme="majorEastAsia" w:hint="eastAsia"/>
          <w:szCs w:val="21"/>
        </w:rPr>
        <w:t>平台</w:t>
      </w:r>
      <w:r w:rsidRPr="000321E0">
        <w:rPr>
          <w:rFonts w:asciiTheme="majorEastAsia" w:eastAsiaTheme="majorEastAsia" w:hAnsiTheme="majorEastAsia"/>
          <w:szCs w:val="21"/>
        </w:rPr>
        <w:t>站内信或通过移动通信号码一并发送提示查看的信息。</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2" w:name="_Toc19926"/>
      <w:r w:rsidRPr="000321E0">
        <w:rPr>
          <w:rFonts w:asciiTheme="majorEastAsia" w:hAnsiTheme="majorEastAsia" w:hint="eastAsia"/>
          <w:sz w:val="21"/>
          <w:szCs w:val="21"/>
        </w:rPr>
        <w:t>第十条 电子送达地址</w:t>
      </w:r>
      <w:bookmarkEnd w:id="12"/>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（一）当事人在仲裁协议或者合同中约定了采用电子邮件、移动通信、微信、QQ等方式送达的，其约定的电子邮箱、移动通信号码、微信账号、QQ账号等为其电子送达地址。</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（二）当事人参加本委互联网</w:t>
      </w:r>
      <w:r w:rsidRPr="000321E0">
        <w:rPr>
          <w:rFonts w:asciiTheme="majorEastAsia" w:eastAsiaTheme="majorEastAsia" w:hAnsiTheme="majorEastAsia" w:hint="eastAsia"/>
          <w:szCs w:val="21"/>
        </w:rPr>
        <w:t>在线</w:t>
      </w:r>
      <w:r w:rsidRPr="000321E0">
        <w:rPr>
          <w:rFonts w:asciiTheme="majorEastAsia" w:eastAsiaTheme="majorEastAsia" w:hAnsiTheme="majorEastAsia"/>
          <w:szCs w:val="21"/>
        </w:rPr>
        <w:t>仲裁程序时，应当确认自己的电子邮箱、移动通信号码作为其电子送达地址，当事人确认的电子送达地址与本条第（一）款提及的送达地址不一致的，以本款确认的电子送达地址为准。</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（三）当事人未约定也未向本委确认的，其在合同交易中使用的或者在合同交易网站注册时填写的电子邮箱或者移动通信号码，可以作为其电子送达地址。</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szCs w:val="21"/>
        </w:rPr>
        <w:t>（四）当事人在互联网仲裁过程中变更电子送达地址的，应当及时通知本委。未及时通知的，视为未变更。</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3" w:name="_Toc10133"/>
      <w:r w:rsidRPr="000321E0">
        <w:rPr>
          <w:rFonts w:asciiTheme="majorEastAsia" w:hAnsiTheme="majorEastAsia" w:hint="eastAsia"/>
          <w:sz w:val="21"/>
          <w:szCs w:val="21"/>
        </w:rPr>
        <w:t>第十一条 数据传输安全保障</w:t>
      </w:r>
      <w:bookmarkEnd w:id="13"/>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当事人提交的电子数据，通过电子签名、可信时间戳、哈希值校验、区块链等证据收集、固定和防篡改的技术手段或者通过电子取证存证平台认证，能够证明其真实性的，本委应当确认。</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当事人可以申请具有专门知识的人就电子数据技术问题提出意见。本委可以根据当事人申请或者依职权，委托鉴定电子数据的真实性或者调取其他相关证据进行核对。</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本委会尽合理的努力为当事人、仲裁庭和仲裁委员会之间案件数据的在线传输提供安全保障，并采取为案件数据信息加密的形式为案件信息保密。</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本委对仲裁程序中在线传输的数据因网络系统故障等原因为收件人以外的人士所获悉</w:t>
      </w:r>
      <w:r w:rsidRPr="000321E0">
        <w:rPr>
          <w:rFonts w:asciiTheme="majorEastAsia" w:eastAsiaTheme="majorEastAsia" w:hAnsiTheme="majorEastAsia" w:hint="eastAsia"/>
          <w:szCs w:val="21"/>
        </w:rPr>
        <w:lastRenderedPageBreak/>
        <w:t>而造成的损失不承担责任。</w:t>
      </w:r>
    </w:p>
    <w:p w:rsidR="003B6206" w:rsidRPr="000321E0" w:rsidRDefault="001015D7" w:rsidP="0028516C">
      <w:pPr>
        <w:pStyle w:val="1"/>
        <w:spacing w:beforeLines="20" w:afterLines="20" w:line="720" w:lineRule="auto"/>
        <w:ind w:firstLineChars="200" w:firstLine="643"/>
        <w:jc w:val="center"/>
        <w:rPr>
          <w:rFonts w:asciiTheme="majorEastAsia" w:eastAsiaTheme="majorEastAsia" w:hAnsiTheme="majorEastAsia"/>
          <w:sz w:val="32"/>
          <w:szCs w:val="32"/>
        </w:rPr>
      </w:pPr>
      <w:bookmarkStart w:id="14" w:name="_Toc10974"/>
      <w:r w:rsidRPr="000321E0">
        <w:rPr>
          <w:rFonts w:asciiTheme="majorEastAsia" w:eastAsiaTheme="majorEastAsia" w:hAnsiTheme="majorEastAsia" w:hint="eastAsia"/>
          <w:sz w:val="32"/>
          <w:szCs w:val="32"/>
        </w:rPr>
        <w:t>第三章 申请和受理</w:t>
      </w:r>
      <w:bookmarkEnd w:id="14"/>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5" w:name="_Toc548"/>
      <w:r w:rsidRPr="000321E0">
        <w:rPr>
          <w:rFonts w:asciiTheme="majorEastAsia" w:hAnsiTheme="majorEastAsia" w:hint="eastAsia"/>
          <w:sz w:val="21"/>
          <w:szCs w:val="21"/>
        </w:rPr>
        <w:t>第十二条 申请仲裁</w:t>
      </w:r>
      <w:bookmarkEnd w:id="15"/>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当事人申请仲裁，应当通过本委在线仲裁平台提交仲裁协议、仲裁申请书及其副本、证据和证据清单、申请人身份证明文件等电子材料。</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6" w:name="_Toc24798"/>
      <w:r w:rsidRPr="000321E0">
        <w:rPr>
          <w:rFonts w:asciiTheme="majorEastAsia" w:hAnsiTheme="majorEastAsia"/>
          <w:sz w:val="21"/>
          <w:szCs w:val="21"/>
        </w:rPr>
        <w:t>第十</w:t>
      </w:r>
      <w:r w:rsidRPr="000321E0">
        <w:rPr>
          <w:rFonts w:asciiTheme="majorEastAsia" w:hAnsiTheme="majorEastAsia" w:hint="eastAsia"/>
          <w:sz w:val="21"/>
          <w:szCs w:val="21"/>
        </w:rPr>
        <w:t>三</w:t>
      </w:r>
      <w:r w:rsidRPr="000321E0">
        <w:rPr>
          <w:rFonts w:asciiTheme="majorEastAsia" w:hAnsiTheme="majorEastAsia"/>
          <w:sz w:val="21"/>
          <w:szCs w:val="21"/>
        </w:rPr>
        <w:t>条 受理申请</w:t>
      </w:r>
      <w:bookmarkEnd w:id="16"/>
    </w:p>
    <w:p w:rsidR="003B6206" w:rsidRPr="007D08B4" w:rsidRDefault="0028516C" w:rsidP="0028516C">
      <w:pPr>
        <w:spacing w:beforeLines="20" w:afterLines="30"/>
        <w:ind w:firstLineChars="200" w:firstLine="420"/>
        <w:rPr>
          <w:rFonts w:asciiTheme="majorEastAsia" w:eastAsiaTheme="majorEastAsia" w:hAnsiTheme="majorEastAsia"/>
          <w:szCs w:val="21"/>
        </w:rPr>
      </w:pPr>
      <w:r>
        <w:rPr>
          <w:rFonts w:asciiTheme="majorEastAsia" w:eastAsiaTheme="majorEastAsia" w:hAnsiTheme="majorEastAsia"/>
          <w:szCs w:val="21"/>
        </w:rPr>
        <w:t>本委收到</w:t>
      </w:r>
      <w:r w:rsidR="001015D7" w:rsidRPr="007D08B4">
        <w:rPr>
          <w:rFonts w:asciiTheme="majorEastAsia" w:eastAsiaTheme="majorEastAsia" w:hAnsiTheme="majorEastAsia"/>
          <w:szCs w:val="21"/>
        </w:rPr>
        <w:t>仲裁申请</w:t>
      </w:r>
      <w:r w:rsidR="001015D7" w:rsidRPr="007D08B4">
        <w:rPr>
          <w:rFonts w:asciiTheme="majorEastAsia" w:eastAsiaTheme="majorEastAsia" w:hAnsiTheme="majorEastAsia" w:hint="eastAsia"/>
          <w:szCs w:val="21"/>
        </w:rPr>
        <w:t>后</w:t>
      </w:r>
      <w:r w:rsidR="001015D7" w:rsidRPr="007D08B4">
        <w:rPr>
          <w:rFonts w:asciiTheme="majorEastAsia" w:eastAsiaTheme="majorEastAsia" w:hAnsiTheme="majorEastAsia"/>
          <w:szCs w:val="21"/>
        </w:rPr>
        <w:t>，</w:t>
      </w:r>
      <w:r w:rsidR="001015D7" w:rsidRPr="007D08B4">
        <w:rPr>
          <w:rFonts w:asciiTheme="majorEastAsia" w:eastAsiaTheme="majorEastAsia" w:hAnsiTheme="majorEastAsia" w:hint="eastAsia"/>
          <w:szCs w:val="21"/>
        </w:rPr>
        <w:t>经审查认为符合受理条件的，当即予以受理，并将预交仲裁费用通知书、受理通知书、举证通知书、仲裁权利义务告知书、仲裁规则、仲裁员名册、当事人送达地址确认书等发送申请人。</w:t>
      </w:r>
    </w:p>
    <w:p w:rsidR="003B6206" w:rsidRPr="00711310" w:rsidRDefault="001015D7" w:rsidP="0028516C">
      <w:pPr>
        <w:spacing w:beforeLines="20" w:afterLines="30"/>
        <w:ind w:firstLineChars="200" w:firstLine="420"/>
        <w:rPr>
          <w:rFonts w:asciiTheme="majorEastAsia" w:eastAsiaTheme="majorEastAsia" w:hAnsiTheme="majorEastAsia"/>
          <w:szCs w:val="21"/>
        </w:rPr>
      </w:pPr>
      <w:r w:rsidRPr="00711310">
        <w:rPr>
          <w:rFonts w:asciiTheme="majorEastAsia" w:eastAsiaTheme="majorEastAsia" w:hAnsiTheme="majorEastAsia" w:hint="eastAsia"/>
          <w:szCs w:val="21"/>
        </w:rPr>
        <w:t>仲裁程序自本委受理仲裁申请之日开始。</w:t>
      </w:r>
    </w:p>
    <w:p w:rsidR="003B6206" w:rsidRPr="00711310" w:rsidRDefault="001015D7" w:rsidP="0028516C">
      <w:pPr>
        <w:spacing w:beforeLines="20" w:afterLines="30"/>
        <w:ind w:firstLineChars="200" w:firstLine="420"/>
        <w:rPr>
          <w:rFonts w:asciiTheme="majorEastAsia" w:eastAsiaTheme="majorEastAsia" w:hAnsiTheme="majorEastAsia"/>
          <w:szCs w:val="21"/>
        </w:rPr>
      </w:pPr>
      <w:r w:rsidRPr="00711310">
        <w:rPr>
          <w:rFonts w:asciiTheme="majorEastAsia" w:eastAsiaTheme="majorEastAsia" w:hAnsiTheme="majorEastAsia"/>
          <w:szCs w:val="21"/>
        </w:rPr>
        <w:t>申请人预交仲裁费后，本委在</w:t>
      </w:r>
      <w:r w:rsidRPr="00711310">
        <w:rPr>
          <w:rFonts w:asciiTheme="majorEastAsia" w:eastAsiaTheme="majorEastAsia" w:hAnsiTheme="majorEastAsia" w:hint="eastAsia"/>
          <w:szCs w:val="21"/>
        </w:rPr>
        <w:t>3</w:t>
      </w:r>
      <w:r w:rsidRPr="00711310">
        <w:rPr>
          <w:rFonts w:asciiTheme="majorEastAsia" w:eastAsiaTheme="majorEastAsia" w:hAnsiTheme="majorEastAsia"/>
          <w:szCs w:val="21"/>
        </w:rPr>
        <w:t>日内向</w:t>
      </w:r>
      <w:r w:rsidRPr="00711310">
        <w:rPr>
          <w:rFonts w:asciiTheme="majorEastAsia" w:eastAsiaTheme="majorEastAsia" w:hAnsiTheme="majorEastAsia" w:hint="eastAsia"/>
          <w:szCs w:val="21"/>
        </w:rPr>
        <w:t>被申请人</w:t>
      </w:r>
      <w:r w:rsidRPr="00711310">
        <w:rPr>
          <w:rFonts w:asciiTheme="majorEastAsia" w:eastAsiaTheme="majorEastAsia" w:hAnsiTheme="majorEastAsia"/>
          <w:szCs w:val="21"/>
        </w:rPr>
        <w:t>发送</w:t>
      </w:r>
      <w:r w:rsidRPr="00711310">
        <w:rPr>
          <w:rFonts w:asciiTheme="majorEastAsia" w:eastAsiaTheme="majorEastAsia" w:hAnsiTheme="majorEastAsia" w:hint="eastAsia"/>
          <w:szCs w:val="21"/>
        </w:rPr>
        <w:t>仲裁申请书副本、答辩通知书、举证通知书、仲裁权利义务告知书、仲裁规则、仲裁员名册、当事人送达地址确认书等。若申请人拟采取财产保全措施需要延迟发送的，应当在平台上告知本委，本委发送时间不受上述3日时间限制，但最长不得超过10日。</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7" w:name="_Toc16188"/>
      <w:r w:rsidRPr="000321E0">
        <w:rPr>
          <w:rFonts w:asciiTheme="majorEastAsia" w:hAnsiTheme="majorEastAsia" w:hint="eastAsia"/>
          <w:sz w:val="21"/>
          <w:szCs w:val="21"/>
        </w:rPr>
        <w:t>第十四条 仲裁收费</w:t>
      </w:r>
      <w:bookmarkEnd w:id="17"/>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申请人申请仲裁、被申请人提出反请求，均应当按照本委互联网在线仲裁案件收费标准预交仲裁费。</w:t>
      </w:r>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szCs w:val="21"/>
        </w:rPr>
        <w:t>当事人</w:t>
      </w:r>
      <w:r w:rsidRPr="00D93795">
        <w:rPr>
          <w:rFonts w:asciiTheme="majorEastAsia" w:eastAsiaTheme="majorEastAsia" w:hAnsiTheme="majorEastAsia" w:hint="eastAsia"/>
          <w:szCs w:val="21"/>
        </w:rPr>
        <w:t>应在收到本委预交仲裁案件费用通知书之日起3日内</w:t>
      </w:r>
      <w:r w:rsidRPr="00D93795">
        <w:rPr>
          <w:rFonts w:asciiTheme="majorEastAsia" w:eastAsiaTheme="majorEastAsia" w:hAnsiTheme="majorEastAsia"/>
          <w:szCs w:val="21"/>
        </w:rPr>
        <w:t>向本委预交仲裁费用。逾期未预交仲裁费用的，视为撤回仲裁</w:t>
      </w:r>
      <w:r w:rsidRPr="00D93795">
        <w:rPr>
          <w:rFonts w:asciiTheme="majorEastAsia" w:eastAsiaTheme="majorEastAsia" w:hAnsiTheme="majorEastAsia" w:hint="eastAsia"/>
          <w:szCs w:val="21"/>
        </w:rPr>
        <w:t>申请、仲裁反请求申请。</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8" w:name="_Toc31728"/>
      <w:r w:rsidRPr="000321E0">
        <w:rPr>
          <w:rFonts w:asciiTheme="majorEastAsia" w:hAnsiTheme="majorEastAsia" w:hint="eastAsia"/>
          <w:sz w:val="21"/>
          <w:szCs w:val="21"/>
        </w:rPr>
        <w:t>第十五条 答辩</w:t>
      </w:r>
      <w:bookmarkEnd w:id="18"/>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被申请人应当自收到答辩通知书之日起5</w:t>
      </w:r>
      <w:r w:rsidR="003F2046">
        <w:rPr>
          <w:rFonts w:asciiTheme="majorEastAsia" w:eastAsiaTheme="majorEastAsia" w:hAnsiTheme="majorEastAsia" w:hint="eastAsia"/>
          <w:szCs w:val="21"/>
        </w:rPr>
        <w:t>日内通过本委互联网在线仲裁平台提交下列材料：</w:t>
      </w:r>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（一）答辩书；</w:t>
      </w:r>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（二）证据和证据清单；</w:t>
      </w:r>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（三）被申请人身份证明文件。</w:t>
      </w:r>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本委收到答辩书后，应该在3日内将答辩书副本及相关材料发送申请人。</w:t>
      </w:r>
    </w:p>
    <w:p w:rsidR="003B6206" w:rsidRPr="00D93795" w:rsidRDefault="001015D7" w:rsidP="0028516C">
      <w:pPr>
        <w:spacing w:beforeLines="20" w:afterLines="30"/>
        <w:ind w:firstLineChars="200" w:firstLine="420"/>
        <w:rPr>
          <w:rFonts w:asciiTheme="majorEastAsia" w:eastAsiaTheme="majorEastAsia" w:hAnsiTheme="majorEastAsia"/>
          <w:szCs w:val="21"/>
        </w:rPr>
      </w:pPr>
      <w:r w:rsidRPr="00D93795">
        <w:rPr>
          <w:rFonts w:asciiTheme="majorEastAsia" w:eastAsiaTheme="majorEastAsia" w:hAnsiTheme="majorEastAsia" w:hint="eastAsia"/>
          <w:szCs w:val="21"/>
        </w:rPr>
        <w:t>被申请人未提交答辩书的，不影响仲裁程序的进行。</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19" w:name="_Toc10266"/>
      <w:r w:rsidRPr="000321E0">
        <w:rPr>
          <w:rFonts w:asciiTheme="majorEastAsia" w:hAnsiTheme="majorEastAsia" w:hint="eastAsia"/>
          <w:sz w:val="21"/>
          <w:szCs w:val="21"/>
        </w:rPr>
        <w:t>第十六条 反请求</w:t>
      </w:r>
      <w:bookmarkEnd w:id="19"/>
    </w:p>
    <w:p w:rsidR="003B6206" w:rsidRPr="00674DF1" w:rsidRDefault="001015D7" w:rsidP="0028516C">
      <w:pPr>
        <w:spacing w:beforeLines="20" w:afterLines="30"/>
        <w:ind w:firstLineChars="200" w:firstLine="420"/>
        <w:rPr>
          <w:rFonts w:asciiTheme="majorEastAsia" w:eastAsiaTheme="majorEastAsia" w:hAnsiTheme="majorEastAsia"/>
          <w:szCs w:val="21"/>
        </w:rPr>
      </w:pPr>
      <w:r w:rsidRPr="00674DF1">
        <w:rPr>
          <w:rFonts w:asciiTheme="majorEastAsia" w:eastAsiaTheme="majorEastAsia" w:hAnsiTheme="majorEastAsia" w:hint="eastAsia"/>
          <w:szCs w:val="21"/>
        </w:rPr>
        <w:t>被申请人有权提出反请求，应当自收到答辩通知书之日起5日内通过本委互联网在线仲裁平台提交仲裁反请求申请书。对逾期提出是否受理，组庭前由本委决定；组庭后由仲裁庭决定。</w:t>
      </w:r>
    </w:p>
    <w:p w:rsidR="003B6206" w:rsidRPr="00674DF1" w:rsidRDefault="001015D7" w:rsidP="0028516C">
      <w:pPr>
        <w:spacing w:beforeLines="20" w:afterLines="30"/>
        <w:ind w:firstLineChars="200" w:firstLine="420"/>
        <w:rPr>
          <w:rFonts w:asciiTheme="majorEastAsia" w:eastAsiaTheme="majorEastAsia" w:hAnsiTheme="majorEastAsia"/>
          <w:szCs w:val="21"/>
        </w:rPr>
      </w:pPr>
      <w:r w:rsidRPr="00674DF1">
        <w:rPr>
          <w:rFonts w:asciiTheme="majorEastAsia" w:eastAsiaTheme="majorEastAsia" w:hAnsiTheme="majorEastAsia" w:hint="eastAsia"/>
          <w:szCs w:val="21"/>
        </w:rPr>
        <w:t>本委受理仲裁反请求后，应当在3日内将仲裁反请求申请书副本、反请求答辩通知书、反请求举证通知书等发送申请人。</w:t>
      </w:r>
    </w:p>
    <w:p w:rsidR="003B6206" w:rsidRPr="00674DF1" w:rsidRDefault="001015D7" w:rsidP="0028516C">
      <w:pPr>
        <w:spacing w:beforeLines="20" w:afterLines="30"/>
        <w:ind w:firstLineChars="200" w:firstLine="420"/>
        <w:rPr>
          <w:rFonts w:asciiTheme="majorEastAsia" w:eastAsiaTheme="majorEastAsia" w:hAnsiTheme="majorEastAsia"/>
          <w:szCs w:val="21"/>
        </w:rPr>
      </w:pPr>
      <w:r w:rsidRPr="00674DF1">
        <w:rPr>
          <w:rFonts w:asciiTheme="majorEastAsia" w:eastAsiaTheme="majorEastAsia" w:hAnsiTheme="majorEastAsia" w:hint="eastAsia"/>
          <w:szCs w:val="21"/>
        </w:rPr>
        <w:lastRenderedPageBreak/>
        <w:t>申请人应当自收到反请求答辩通知书之日起5日内向本委在线仲裁平台提交答辩书；未提交答辩书的，不影响仲裁程序进行。</w:t>
      </w:r>
    </w:p>
    <w:p w:rsidR="003B6206" w:rsidRPr="000321E0" w:rsidRDefault="001015D7" w:rsidP="0028516C">
      <w:pPr>
        <w:pStyle w:val="1"/>
        <w:spacing w:beforeLines="4" w:afterLines="4"/>
        <w:ind w:firstLineChars="200" w:firstLine="643"/>
        <w:jc w:val="center"/>
        <w:rPr>
          <w:rFonts w:asciiTheme="majorEastAsia" w:eastAsiaTheme="majorEastAsia" w:hAnsiTheme="majorEastAsia"/>
          <w:sz w:val="32"/>
          <w:szCs w:val="32"/>
        </w:rPr>
      </w:pPr>
      <w:bookmarkStart w:id="20" w:name="_Toc32704"/>
      <w:r w:rsidRPr="000321E0">
        <w:rPr>
          <w:rFonts w:asciiTheme="majorEastAsia" w:eastAsiaTheme="majorEastAsia" w:hAnsiTheme="majorEastAsia" w:hint="eastAsia"/>
          <w:sz w:val="32"/>
          <w:szCs w:val="32"/>
        </w:rPr>
        <w:t>第四章证据</w:t>
      </w:r>
      <w:bookmarkEnd w:id="20"/>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1" w:name="_Toc7056"/>
      <w:r w:rsidRPr="000321E0">
        <w:rPr>
          <w:rFonts w:asciiTheme="majorEastAsia" w:hAnsiTheme="majorEastAsia" w:hint="eastAsia"/>
          <w:sz w:val="21"/>
          <w:szCs w:val="21"/>
        </w:rPr>
        <w:t>第十七条 证据提交</w:t>
      </w:r>
      <w:bookmarkEnd w:id="21"/>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（一）当事人应当通过网络仲裁平台向本委提交证据。</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（二）电子数据可以直接提交。</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（三）对书证、物证、视听资料、鉴定意见及勘验笔录等证据，当事人应当如实转换成能够有形地表现所载内容，并可以随时调阅的电子数据后提交。</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（四）本条规定的证据可以在网络视频庭审中出示。</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2" w:name="_Toc31302"/>
      <w:r w:rsidRPr="000321E0">
        <w:rPr>
          <w:rFonts w:asciiTheme="majorEastAsia" w:hAnsiTheme="majorEastAsia" w:hint="eastAsia"/>
          <w:sz w:val="21"/>
          <w:szCs w:val="21"/>
        </w:rPr>
        <w:t>第十八条 证据调取</w:t>
      </w:r>
      <w:bookmarkEnd w:id="22"/>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仲裁庭认为必要时，可以就案件涉及的相关问题向电子商务服务提供商、物流配送公司、第三方支付平台及电子认证服务提供者（如可信时间戳服务机构）等调查事实，收集证据。当事人有义务积极协助和配合。仲裁庭调取的证据，应当交由双方当事人质证。</w:t>
      </w:r>
    </w:p>
    <w:p w:rsidR="003B6206" w:rsidRPr="000321E0" w:rsidRDefault="001015D7" w:rsidP="0028516C">
      <w:pPr>
        <w:pStyle w:val="2"/>
        <w:spacing w:beforeLines="20" w:afterLines="30"/>
        <w:ind w:firstLineChars="200" w:firstLine="422"/>
        <w:rPr>
          <w:rFonts w:asciiTheme="majorEastAsia" w:hAnsiTheme="majorEastAsia"/>
        </w:rPr>
      </w:pPr>
      <w:bookmarkStart w:id="23" w:name="_Toc14439"/>
      <w:r w:rsidRPr="000321E0">
        <w:rPr>
          <w:rFonts w:asciiTheme="majorEastAsia" w:hAnsiTheme="majorEastAsia" w:hint="eastAsia"/>
          <w:sz w:val="21"/>
          <w:szCs w:val="21"/>
        </w:rPr>
        <w:t>第十九条 电子数据认定</w:t>
      </w:r>
      <w:bookmarkEnd w:id="23"/>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（一）审查电子数据的真实性，应当考虑以下因素：</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1.生成、储存或者传递电子数据方法的可靠性；</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2.保持内容完整性方法的可靠性；</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3.用以鉴别发件人方法的可靠性；</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4.其他相关因素。</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（二）如下任一方式保障的电子数据，视为满足法律、法规规定的原件形式要求：</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1.电子数据生成时即向公证机构申请公证；</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2.电子数据生成时向依法设立的电子认证服务提供者（如可信时间戳服务机构）申请认证；</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3.其他能够保证自形成时起，内容保持完整、未被更改的电子数据。但在数据电文上增加背书以及数据交换、储存和显示过程中发生的形式变化不影响数据电文的完整性。</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（三）仲裁庭应当全面、客观地审核电子数据，依据相关法律规定，参照司法解释，结合网络交易习惯，运用逻辑推理和日常生活经验法则等，对电子数据进行综合认定。</w:t>
      </w:r>
    </w:p>
    <w:p w:rsidR="003B6206" w:rsidRPr="000321E0" w:rsidRDefault="001015D7" w:rsidP="0028516C">
      <w:pPr>
        <w:pStyle w:val="1"/>
        <w:spacing w:beforeLines="20" w:afterLines="20"/>
        <w:ind w:firstLineChars="200" w:firstLine="643"/>
        <w:jc w:val="center"/>
        <w:rPr>
          <w:rFonts w:asciiTheme="majorEastAsia" w:eastAsiaTheme="majorEastAsia" w:hAnsiTheme="majorEastAsia"/>
          <w:sz w:val="32"/>
          <w:szCs w:val="32"/>
        </w:rPr>
      </w:pPr>
      <w:bookmarkStart w:id="24" w:name="_Toc23851"/>
      <w:r w:rsidRPr="000321E0">
        <w:rPr>
          <w:rFonts w:asciiTheme="majorEastAsia" w:eastAsiaTheme="majorEastAsia" w:hAnsiTheme="majorEastAsia" w:hint="eastAsia"/>
          <w:sz w:val="32"/>
          <w:szCs w:val="32"/>
        </w:rPr>
        <w:t>第五章 组庭、开庭和裁决</w:t>
      </w:r>
      <w:bookmarkEnd w:id="24"/>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5" w:name="_Toc18327"/>
      <w:r w:rsidRPr="000321E0">
        <w:rPr>
          <w:rFonts w:asciiTheme="majorEastAsia" w:hAnsiTheme="majorEastAsia" w:hint="eastAsia"/>
          <w:sz w:val="21"/>
          <w:szCs w:val="21"/>
        </w:rPr>
        <w:t>第二十条 仲裁庭的组成</w:t>
      </w:r>
      <w:bookmarkEnd w:id="25"/>
    </w:p>
    <w:p w:rsidR="003B6206" w:rsidRPr="00D85616" w:rsidRDefault="001015D7" w:rsidP="0028516C">
      <w:pPr>
        <w:spacing w:beforeLines="20" w:afterLines="30"/>
        <w:ind w:firstLineChars="200" w:firstLine="420"/>
        <w:rPr>
          <w:rFonts w:asciiTheme="majorEastAsia" w:eastAsiaTheme="majorEastAsia" w:hAnsiTheme="majorEastAsia"/>
          <w:szCs w:val="21"/>
        </w:rPr>
      </w:pPr>
      <w:r w:rsidRPr="00D85616">
        <w:rPr>
          <w:rFonts w:asciiTheme="majorEastAsia" w:eastAsiaTheme="majorEastAsia" w:hAnsiTheme="majorEastAsia" w:hint="eastAsia"/>
          <w:szCs w:val="21"/>
        </w:rPr>
        <w:t>仲裁庭由一名仲裁员组成。当事人约定由三名仲裁员组成仲裁庭的，从其约定。</w:t>
      </w:r>
    </w:p>
    <w:p w:rsidR="003B6206" w:rsidRPr="00D85616" w:rsidRDefault="001015D7" w:rsidP="0028516C">
      <w:pPr>
        <w:spacing w:beforeLines="20" w:afterLines="30"/>
        <w:ind w:firstLineChars="200" w:firstLine="420"/>
        <w:rPr>
          <w:rFonts w:asciiTheme="majorEastAsia" w:eastAsiaTheme="majorEastAsia" w:hAnsiTheme="majorEastAsia"/>
          <w:szCs w:val="21"/>
        </w:rPr>
      </w:pPr>
      <w:r w:rsidRPr="00D85616">
        <w:rPr>
          <w:rFonts w:asciiTheme="majorEastAsia" w:eastAsiaTheme="majorEastAsia" w:hAnsiTheme="majorEastAsia" w:hint="eastAsia"/>
          <w:szCs w:val="21"/>
        </w:rPr>
        <w:t>一名仲裁员组成仲裁庭的，当事人应当在收到仲裁受理、答辩通知书之日起5日内选定或委托本委主任指定仲裁员。当事人未能按照上述规定选定或委托本委主任指定仲裁员或双</w:t>
      </w:r>
      <w:r w:rsidRPr="00D85616">
        <w:rPr>
          <w:rFonts w:asciiTheme="majorEastAsia" w:eastAsiaTheme="majorEastAsia" w:hAnsiTheme="majorEastAsia" w:hint="eastAsia"/>
          <w:szCs w:val="21"/>
        </w:rPr>
        <w:lastRenderedPageBreak/>
        <w:t>方当事人选定的仲裁员不一致的，由本委主任指定。</w:t>
      </w:r>
    </w:p>
    <w:p w:rsidR="003B6206" w:rsidRPr="00D85616" w:rsidRDefault="001015D7" w:rsidP="0028516C">
      <w:pPr>
        <w:spacing w:beforeLines="20" w:afterLines="30"/>
        <w:ind w:firstLineChars="200" w:firstLine="420"/>
        <w:rPr>
          <w:rFonts w:asciiTheme="majorEastAsia" w:eastAsiaTheme="majorEastAsia" w:hAnsiTheme="majorEastAsia"/>
          <w:szCs w:val="21"/>
        </w:rPr>
      </w:pPr>
      <w:r w:rsidRPr="00D85616">
        <w:rPr>
          <w:rFonts w:asciiTheme="majorEastAsia" w:eastAsiaTheme="majorEastAsia" w:hAnsiTheme="majorEastAsia" w:hint="eastAsia"/>
          <w:szCs w:val="21"/>
        </w:rPr>
        <w:t>当事人约定由三名仲裁员组成仲裁庭的，仲裁庭组成后，本委应将仲裁庭的组成情况按当事人约定或确认的电子送达地址及时通知当事人。</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6" w:name="_Toc23449"/>
      <w:r w:rsidRPr="000321E0">
        <w:rPr>
          <w:rFonts w:asciiTheme="majorEastAsia" w:hAnsiTheme="majorEastAsia" w:hint="eastAsia"/>
          <w:sz w:val="21"/>
          <w:szCs w:val="21"/>
        </w:rPr>
        <w:t>第二十一条 审理方式</w:t>
      </w:r>
      <w:bookmarkEnd w:id="26"/>
    </w:p>
    <w:p w:rsidR="003B6206" w:rsidRPr="00731C56" w:rsidRDefault="001015D7" w:rsidP="0028516C">
      <w:pPr>
        <w:spacing w:beforeLines="20" w:afterLines="30"/>
        <w:ind w:firstLineChars="200" w:firstLine="420"/>
        <w:rPr>
          <w:rFonts w:asciiTheme="majorEastAsia" w:eastAsiaTheme="majorEastAsia" w:hAnsiTheme="majorEastAsia"/>
          <w:szCs w:val="21"/>
        </w:rPr>
      </w:pPr>
      <w:r w:rsidRPr="00731C56">
        <w:rPr>
          <w:rFonts w:asciiTheme="majorEastAsia" w:eastAsiaTheme="majorEastAsia" w:hAnsiTheme="majorEastAsia" w:hint="eastAsia"/>
          <w:szCs w:val="21"/>
        </w:rPr>
        <w:t>（一）仲裁应当网上开庭进行。当事人协议书面审理的，申请人应当在组庭时提出书面审理的要求，仲裁庭可以根据仲裁申请书、答辩书及现有提供的证据材料做出裁决。仲裁庭如需要可通过在线仲裁平台向当事人发放问题单，当事人应自收到问题单之日起5日内通过在线仲裁平台做出说明，逾期不说明的，视为放弃说明的权利。</w:t>
      </w:r>
    </w:p>
    <w:p w:rsidR="003B6206" w:rsidRPr="00731C56" w:rsidRDefault="001015D7" w:rsidP="0028516C">
      <w:pPr>
        <w:spacing w:beforeLines="20" w:afterLines="30"/>
        <w:ind w:firstLineChars="200" w:firstLine="420"/>
        <w:rPr>
          <w:rFonts w:asciiTheme="majorEastAsia" w:eastAsiaTheme="majorEastAsia" w:hAnsiTheme="majorEastAsia"/>
          <w:szCs w:val="21"/>
        </w:rPr>
      </w:pPr>
      <w:r w:rsidRPr="00731C56">
        <w:rPr>
          <w:rFonts w:asciiTheme="majorEastAsia" w:eastAsiaTheme="majorEastAsia" w:hAnsiTheme="majorEastAsia" w:hint="eastAsia"/>
          <w:szCs w:val="21"/>
        </w:rPr>
        <w:t>（二）仲裁庭通过网络视频庭审、网上交流、电话会议等适当的方式审理案件，但应当确保公平对待各方当事人。</w:t>
      </w:r>
    </w:p>
    <w:p w:rsidR="003B6206" w:rsidRPr="00731C56" w:rsidRDefault="001015D7" w:rsidP="0028516C">
      <w:pPr>
        <w:spacing w:beforeLines="20" w:afterLines="30"/>
        <w:ind w:firstLineChars="200" w:firstLine="420"/>
        <w:rPr>
          <w:rFonts w:asciiTheme="majorEastAsia" w:eastAsiaTheme="majorEastAsia" w:hAnsiTheme="majorEastAsia"/>
          <w:szCs w:val="21"/>
        </w:rPr>
      </w:pPr>
      <w:r w:rsidRPr="00731C56">
        <w:rPr>
          <w:rFonts w:asciiTheme="majorEastAsia" w:eastAsiaTheme="majorEastAsia" w:hAnsiTheme="majorEastAsia" w:hint="eastAsia"/>
          <w:szCs w:val="21"/>
        </w:rPr>
        <w:t>（三）仲裁庭按照本条第（二）款规定网上开庭审理案件的，应当在开庭3日前将开庭通知书发送双方当事人。</w:t>
      </w:r>
    </w:p>
    <w:p w:rsidR="003B6206" w:rsidRPr="000321E0" w:rsidRDefault="001015D7" w:rsidP="0028516C">
      <w:pPr>
        <w:pStyle w:val="2"/>
        <w:spacing w:beforeLines="20" w:afterLines="30"/>
        <w:ind w:firstLineChars="200" w:firstLine="422"/>
        <w:rPr>
          <w:rFonts w:asciiTheme="majorEastAsia" w:hAnsiTheme="majorEastAsia"/>
          <w:sz w:val="21"/>
          <w:szCs w:val="21"/>
        </w:rPr>
      </w:pPr>
      <w:r w:rsidRPr="000321E0">
        <w:rPr>
          <w:rFonts w:asciiTheme="majorEastAsia" w:hAnsiTheme="majorEastAsia" w:hint="eastAsia"/>
          <w:sz w:val="21"/>
          <w:szCs w:val="21"/>
        </w:rPr>
        <w:t>第二十二条 拒不到庭或中途退庭</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在线仲裁平台受理的案件根据在线庭审特点，除经查明确属网络故障、设备损坏、电力中断或者不可抗力等原因外，当事人不按时参加在线庭审的，视为“拒不到庭”，庭审中擅自退出的，视为“中途退庭”，分别按照相关规定处理。</w:t>
      </w:r>
    </w:p>
    <w:p w:rsidR="003B6206" w:rsidRPr="000321E0" w:rsidRDefault="001015D7" w:rsidP="0028516C">
      <w:pPr>
        <w:pStyle w:val="2"/>
        <w:spacing w:beforeLines="20" w:afterLines="30"/>
        <w:ind w:firstLineChars="200" w:firstLine="422"/>
        <w:rPr>
          <w:rFonts w:asciiTheme="majorEastAsia" w:hAnsiTheme="majorEastAsia"/>
          <w:szCs w:val="21"/>
        </w:rPr>
      </w:pPr>
      <w:bookmarkStart w:id="27" w:name="_Toc19823"/>
      <w:r w:rsidRPr="000321E0">
        <w:rPr>
          <w:rFonts w:asciiTheme="majorEastAsia" w:hAnsiTheme="majorEastAsia" w:hint="eastAsia"/>
          <w:sz w:val="21"/>
          <w:szCs w:val="21"/>
        </w:rPr>
        <w:t>第二十三条 程序转换</w:t>
      </w:r>
      <w:bookmarkEnd w:id="27"/>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（一）当事人应当向</w:t>
      </w:r>
      <w:r w:rsidR="00B318FB">
        <w:rPr>
          <w:rFonts w:asciiTheme="majorEastAsia" w:eastAsiaTheme="majorEastAsia" w:hAnsiTheme="majorEastAsia" w:hint="eastAsia"/>
          <w:szCs w:val="21"/>
        </w:rPr>
        <w:t>本委</w:t>
      </w:r>
      <w:r w:rsidRPr="000321E0">
        <w:rPr>
          <w:rFonts w:asciiTheme="majorEastAsia" w:eastAsiaTheme="majorEastAsia" w:hAnsiTheme="majorEastAsia" w:hint="eastAsia"/>
          <w:szCs w:val="21"/>
        </w:rPr>
        <w:t>提交身份证明文件。申请人未向</w:t>
      </w:r>
      <w:r w:rsidR="00B318FB">
        <w:rPr>
          <w:rFonts w:asciiTheme="majorEastAsia" w:eastAsiaTheme="majorEastAsia" w:hAnsiTheme="majorEastAsia" w:hint="eastAsia"/>
          <w:szCs w:val="21"/>
        </w:rPr>
        <w:t>本委</w:t>
      </w:r>
      <w:r w:rsidRPr="000321E0">
        <w:rPr>
          <w:rFonts w:asciiTheme="majorEastAsia" w:eastAsiaTheme="majorEastAsia" w:hAnsiTheme="majorEastAsia" w:hint="eastAsia"/>
          <w:szCs w:val="21"/>
        </w:rPr>
        <w:t>提交双方当事人的真实身份证明文件，被申请人也未补充提交，</w:t>
      </w:r>
      <w:r w:rsidR="00B318FB">
        <w:rPr>
          <w:rFonts w:asciiTheme="majorEastAsia" w:eastAsiaTheme="majorEastAsia" w:hAnsiTheme="majorEastAsia" w:hint="eastAsia"/>
          <w:szCs w:val="21"/>
        </w:rPr>
        <w:t>本委</w:t>
      </w:r>
      <w:r w:rsidRPr="000321E0">
        <w:rPr>
          <w:rFonts w:asciiTheme="majorEastAsia" w:eastAsiaTheme="majorEastAsia" w:hAnsiTheme="majorEastAsia" w:hint="eastAsia"/>
          <w:szCs w:val="21"/>
        </w:rPr>
        <w:t>又无法通过网络审查的方式认定当事人身份信息的，案件应当转为线下按照《</w:t>
      </w:r>
      <w:r w:rsidR="00170F0C">
        <w:rPr>
          <w:rFonts w:asciiTheme="majorEastAsia" w:eastAsiaTheme="majorEastAsia" w:hAnsiTheme="majorEastAsia" w:hint="eastAsia"/>
          <w:szCs w:val="21"/>
        </w:rPr>
        <w:t>宁波仲裁委员会</w:t>
      </w:r>
      <w:r w:rsidRPr="000321E0">
        <w:rPr>
          <w:rFonts w:asciiTheme="majorEastAsia" w:eastAsiaTheme="majorEastAsia" w:hAnsiTheme="majorEastAsia" w:hint="eastAsia"/>
          <w:szCs w:val="21"/>
        </w:rPr>
        <w:t>仲裁规则》审理。</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（二）当事人对证据的真实性存在争议，而仲裁庭无法通过在线方式予以认定的，案件可以转为线下按照《</w:t>
      </w:r>
      <w:r w:rsidR="00A46C1C">
        <w:rPr>
          <w:rFonts w:asciiTheme="majorEastAsia" w:eastAsiaTheme="majorEastAsia" w:hAnsiTheme="majorEastAsia" w:hint="eastAsia"/>
          <w:szCs w:val="21"/>
        </w:rPr>
        <w:t>宁波仲裁委员会</w:t>
      </w:r>
      <w:r w:rsidRPr="000321E0">
        <w:rPr>
          <w:rFonts w:asciiTheme="majorEastAsia" w:eastAsiaTheme="majorEastAsia" w:hAnsiTheme="majorEastAsia" w:hint="eastAsia"/>
          <w:szCs w:val="21"/>
        </w:rPr>
        <w:t>仲裁规则》审理。</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（三）双方当事人一致同意或者仲裁庭认为案件复杂的，可以将案件转为线下按照《</w:t>
      </w:r>
      <w:r w:rsidR="00EB4B1F">
        <w:rPr>
          <w:rFonts w:asciiTheme="majorEastAsia" w:eastAsiaTheme="majorEastAsia" w:hAnsiTheme="majorEastAsia" w:hint="eastAsia"/>
          <w:szCs w:val="21"/>
        </w:rPr>
        <w:t>宁波仲裁委员会</w:t>
      </w:r>
      <w:r w:rsidRPr="000321E0">
        <w:rPr>
          <w:rFonts w:asciiTheme="majorEastAsia" w:eastAsiaTheme="majorEastAsia" w:hAnsiTheme="majorEastAsia" w:hint="eastAsia"/>
          <w:szCs w:val="21"/>
        </w:rPr>
        <w:t>仲裁规则》审理。</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8" w:name="_Toc14149"/>
      <w:r w:rsidRPr="000321E0">
        <w:rPr>
          <w:rFonts w:asciiTheme="majorEastAsia" w:hAnsiTheme="majorEastAsia" w:hint="eastAsia"/>
          <w:sz w:val="21"/>
          <w:szCs w:val="21"/>
        </w:rPr>
        <w:t>第二十四条 结案方式</w:t>
      </w:r>
      <w:bookmarkEnd w:id="28"/>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（一）仲裁庭应当自组成之日起30日内作出裁决。特殊情况需要延长的，由首席仲裁员或者独任仲裁员提出申请，经本委主任批准可以适当延长。</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（二）当事人达成调解协议的，由仲裁庭根据调解协议的内容在线制作调解书或者裁决书。</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（三）申请人撤回仲裁申请的，仲裁庭组成前由本委作出决定书，仲裁庭组成后由仲裁庭作出决定书。</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29" w:name="_Toc8430"/>
      <w:r w:rsidRPr="000321E0">
        <w:rPr>
          <w:rFonts w:asciiTheme="majorEastAsia" w:hAnsiTheme="majorEastAsia" w:hint="eastAsia"/>
          <w:sz w:val="21"/>
          <w:szCs w:val="21"/>
        </w:rPr>
        <w:t>第二十五条 裁决文书及送达</w:t>
      </w:r>
      <w:bookmarkEnd w:id="29"/>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（一）决定书、裁决书、调解书由仲裁员电子签名，并由本委电子签章。</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（二）决定书、裁决书、调解书送达至当事人协议约定或确认的电子送达地址即视为送达。</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lastRenderedPageBreak/>
        <w:t>（三）当事人提出需要纸质版文书的，本委应当提供。</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30" w:name="_Toc32488"/>
      <w:r w:rsidRPr="000321E0">
        <w:rPr>
          <w:rFonts w:asciiTheme="majorEastAsia" w:hAnsiTheme="majorEastAsia" w:hint="eastAsia"/>
          <w:sz w:val="21"/>
          <w:szCs w:val="21"/>
        </w:rPr>
        <w:t>第二十六条 签名</w:t>
      </w:r>
      <w:bookmarkEnd w:id="30"/>
    </w:p>
    <w:p w:rsidR="003B6206" w:rsidRPr="000321E0" w:rsidRDefault="001015D7" w:rsidP="004F0C76">
      <w:pPr>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在线仲裁平台审理的案件，仲裁员、办案秘书、当事人及其他仲裁参与人等通过在线确认、电子签章等在线方式对调解协议、庭审笔录、电子送达凭证及其他材料予以确认的，视为符合《中华人民共和国民事诉讼法》有关“签名”的要求。</w:t>
      </w:r>
    </w:p>
    <w:p w:rsidR="003B6206" w:rsidRPr="000321E0" w:rsidRDefault="001015D7" w:rsidP="0028516C">
      <w:pPr>
        <w:pStyle w:val="2"/>
        <w:spacing w:beforeLines="20" w:afterLines="30"/>
        <w:ind w:firstLineChars="200" w:firstLine="422"/>
        <w:rPr>
          <w:rFonts w:asciiTheme="majorEastAsia" w:hAnsiTheme="majorEastAsia"/>
          <w:szCs w:val="21"/>
        </w:rPr>
      </w:pPr>
      <w:bookmarkStart w:id="31" w:name="_Toc8909"/>
      <w:r w:rsidRPr="000321E0">
        <w:rPr>
          <w:rFonts w:asciiTheme="majorEastAsia" w:hAnsiTheme="majorEastAsia" w:hint="eastAsia"/>
          <w:sz w:val="21"/>
          <w:szCs w:val="21"/>
        </w:rPr>
        <w:t>第二十七条 电子笔录</w:t>
      </w:r>
      <w:bookmarkEnd w:id="31"/>
    </w:p>
    <w:p w:rsidR="003B6206" w:rsidRPr="000321E0" w:rsidRDefault="001015D7" w:rsidP="004F0C76">
      <w:pPr>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在线仲裁平台审理的案件，可以在调解、证据交换、庭审、合议等环节运用语音识别技术同步生成电子笔录。电子笔录以在线方式核对确认后，与书面笔录具有同等法律效力。</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32" w:name="_Toc4498"/>
      <w:r w:rsidRPr="000321E0">
        <w:rPr>
          <w:rFonts w:asciiTheme="majorEastAsia" w:hAnsiTheme="majorEastAsia" w:hint="eastAsia"/>
          <w:sz w:val="21"/>
          <w:szCs w:val="21"/>
        </w:rPr>
        <w:t>第二十八条 电子卷宗</w:t>
      </w:r>
      <w:bookmarkEnd w:id="32"/>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在线仲裁平台随案同步生成电子卷宗，形成电子档案归档。</w:t>
      </w:r>
    </w:p>
    <w:p w:rsidR="003B6206" w:rsidRPr="000321E0" w:rsidRDefault="001015D7" w:rsidP="0028516C">
      <w:pPr>
        <w:pStyle w:val="1"/>
        <w:spacing w:beforeLines="20" w:afterLines="30"/>
        <w:ind w:firstLineChars="200" w:firstLine="643"/>
        <w:jc w:val="center"/>
        <w:rPr>
          <w:rFonts w:asciiTheme="majorEastAsia" w:eastAsiaTheme="majorEastAsia" w:hAnsiTheme="majorEastAsia"/>
          <w:sz w:val="32"/>
          <w:szCs w:val="32"/>
        </w:rPr>
      </w:pPr>
      <w:bookmarkStart w:id="33" w:name="_Toc14871"/>
      <w:r w:rsidRPr="000321E0">
        <w:rPr>
          <w:rFonts w:asciiTheme="majorEastAsia" w:eastAsiaTheme="majorEastAsia" w:hAnsiTheme="majorEastAsia" w:hint="eastAsia"/>
          <w:sz w:val="32"/>
          <w:szCs w:val="32"/>
        </w:rPr>
        <w:t>第六章 附则</w:t>
      </w:r>
      <w:bookmarkEnd w:id="33"/>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34" w:name="_Toc5494"/>
      <w:r w:rsidRPr="000321E0">
        <w:rPr>
          <w:rFonts w:asciiTheme="majorEastAsia" w:hAnsiTheme="majorEastAsia" w:hint="eastAsia"/>
          <w:sz w:val="21"/>
          <w:szCs w:val="21"/>
        </w:rPr>
        <w:t>第二十九条 规则解释</w:t>
      </w:r>
      <w:bookmarkEnd w:id="34"/>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（一）本规则条文标题仅具有指引作用，不用于解释条文含义。</w:t>
      </w:r>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（二）本规则由本委负责解释。</w:t>
      </w:r>
    </w:p>
    <w:p w:rsidR="003B6206" w:rsidRPr="000321E0" w:rsidRDefault="001015D7" w:rsidP="0028516C">
      <w:pPr>
        <w:pStyle w:val="2"/>
        <w:spacing w:beforeLines="20" w:afterLines="30"/>
        <w:ind w:firstLineChars="200" w:firstLine="422"/>
        <w:rPr>
          <w:rFonts w:asciiTheme="majorEastAsia" w:hAnsiTheme="majorEastAsia"/>
          <w:sz w:val="21"/>
          <w:szCs w:val="21"/>
        </w:rPr>
      </w:pPr>
      <w:bookmarkStart w:id="35" w:name="_Toc10818"/>
      <w:r w:rsidRPr="000321E0">
        <w:rPr>
          <w:rFonts w:asciiTheme="majorEastAsia" w:hAnsiTheme="majorEastAsia" w:hint="eastAsia"/>
          <w:sz w:val="21"/>
          <w:szCs w:val="21"/>
        </w:rPr>
        <w:t>第三十条 规则施行</w:t>
      </w:r>
      <w:bookmarkEnd w:id="35"/>
    </w:p>
    <w:p w:rsidR="003B6206" w:rsidRPr="000321E0" w:rsidRDefault="001015D7" w:rsidP="0028516C">
      <w:pPr>
        <w:spacing w:beforeLines="20" w:afterLines="30"/>
        <w:ind w:firstLineChars="200" w:firstLine="420"/>
        <w:rPr>
          <w:rFonts w:asciiTheme="majorEastAsia" w:eastAsiaTheme="majorEastAsia" w:hAnsiTheme="majorEastAsia"/>
          <w:szCs w:val="21"/>
        </w:rPr>
      </w:pPr>
      <w:r w:rsidRPr="000321E0">
        <w:rPr>
          <w:rFonts w:asciiTheme="majorEastAsia" w:eastAsiaTheme="majorEastAsia" w:hAnsiTheme="majorEastAsia" w:hint="eastAsia"/>
          <w:szCs w:val="21"/>
        </w:rPr>
        <w:t>本规则自2018年12月1日起施行。</w:t>
      </w: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Default="003B6206">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A24914" w:rsidRDefault="00A24914">
      <w:pPr>
        <w:rPr>
          <w:rFonts w:asciiTheme="majorEastAsia" w:eastAsiaTheme="majorEastAsia" w:hAnsiTheme="majorEastAsia"/>
        </w:rPr>
      </w:pPr>
    </w:p>
    <w:p w:rsidR="00A24914" w:rsidRDefault="00A24914">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Default="00FE1D93">
      <w:pPr>
        <w:rPr>
          <w:rFonts w:asciiTheme="majorEastAsia" w:eastAsiaTheme="majorEastAsia" w:hAnsiTheme="majorEastAsia"/>
        </w:rPr>
      </w:pPr>
    </w:p>
    <w:p w:rsidR="00FE1D93" w:rsidRPr="000321E0" w:rsidRDefault="00FE1D93">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FE1D93" w:rsidRDefault="001015D7">
      <w:pPr>
        <w:rPr>
          <w:rFonts w:asciiTheme="majorEastAsia" w:eastAsiaTheme="majorEastAsia" w:hAnsiTheme="majorEastAsia"/>
          <w:sz w:val="24"/>
          <w:szCs w:val="24"/>
        </w:rPr>
      </w:pPr>
      <w:r w:rsidRPr="00FE1D93">
        <w:rPr>
          <w:rFonts w:asciiTheme="majorEastAsia" w:eastAsiaTheme="majorEastAsia" w:hAnsiTheme="majorEastAsia" w:hint="eastAsia"/>
          <w:sz w:val="24"/>
          <w:szCs w:val="24"/>
        </w:rPr>
        <w:lastRenderedPageBreak/>
        <w:t>附件：互联网在线仲裁案件受理收费标准</w:t>
      </w: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tbl>
      <w:tblPr>
        <w:tblStyle w:val="a7"/>
        <w:tblpPr w:leftFromText="180" w:rightFromText="180" w:vertAnchor="page" w:horzAnchor="page" w:tblpX="1732" w:tblpY="2591"/>
        <w:tblW w:w="8522" w:type="dxa"/>
        <w:tblLayout w:type="fixed"/>
        <w:tblLook w:val="04A0"/>
      </w:tblPr>
      <w:tblGrid>
        <w:gridCol w:w="4261"/>
        <w:gridCol w:w="4261"/>
      </w:tblGrid>
      <w:tr w:rsidR="009719E6" w:rsidRPr="000321E0" w:rsidTr="006A7585">
        <w:tc>
          <w:tcPr>
            <w:tcW w:w="8522" w:type="dxa"/>
            <w:gridSpan w:val="2"/>
          </w:tcPr>
          <w:p w:rsidR="009719E6" w:rsidRPr="000321E0" w:rsidRDefault="009719E6" w:rsidP="006A7585">
            <w:pPr>
              <w:jc w:val="center"/>
              <w:rPr>
                <w:rFonts w:asciiTheme="majorEastAsia" w:eastAsiaTheme="majorEastAsia" w:hAnsiTheme="majorEastAsia"/>
                <w:b/>
                <w:sz w:val="28"/>
                <w:szCs w:val="28"/>
              </w:rPr>
            </w:pPr>
            <w:r w:rsidRPr="000321E0">
              <w:rPr>
                <w:rFonts w:asciiTheme="majorEastAsia" w:eastAsiaTheme="majorEastAsia" w:hAnsiTheme="majorEastAsia" w:hint="eastAsia"/>
                <w:b/>
                <w:sz w:val="28"/>
                <w:szCs w:val="28"/>
              </w:rPr>
              <w:t>宁波仲裁委仲裁案件受理收费标准(互联网在线仲裁类)</w:t>
            </w:r>
          </w:p>
        </w:tc>
      </w:tr>
      <w:tr w:rsidR="009719E6" w:rsidRPr="000321E0" w:rsidTr="006A7585">
        <w:tc>
          <w:tcPr>
            <w:tcW w:w="4261" w:type="dxa"/>
          </w:tcPr>
          <w:p w:rsidR="009719E6" w:rsidRPr="000321E0" w:rsidRDefault="009719E6" w:rsidP="006A7585">
            <w:pPr>
              <w:jc w:val="center"/>
              <w:rPr>
                <w:rFonts w:asciiTheme="majorEastAsia" w:eastAsiaTheme="majorEastAsia" w:hAnsiTheme="majorEastAsia"/>
                <w:b/>
                <w:sz w:val="28"/>
                <w:szCs w:val="28"/>
              </w:rPr>
            </w:pPr>
            <w:r w:rsidRPr="000321E0">
              <w:rPr>
                <w:rFonts w:asciiTheme="majorEastAsia" w:eastAsiaTheme="majorEastAsia" w:hAnsiTheme="majorEastAsia" w:hint="eastAsia"/>
                <w:b/>
                <w:sz w:val="28"/>
                <w:szCs w:val="28"/>
              </w:rPr>
              <w:t>争议金融</w:t>
            </w:r>
          </w:p>
        </w:tc>
        <w:tc>
          <w:tcPr>
            <w:tcW w:w="4261" w:type="dxa"/>
          </w:tcPr>
          <w:p w:rsidR="009719E6" w:rsidRPr="000321E0" w:rsidRDefault="009719E6" w:rsidP="006A7585">
            <w:pPr>
              <w:jc w:val="center"/>
              <w:rPr>
                <w:rFonts w:asciiTheme="majorEastAsia" w:eastAsiaTheme="majorEastAsia" w:hAnsiTheme="majorEastAsia"/>
                <w:b/>
                <w:sz w:val="28"/>
                <w:szCs w:val="28"/>
              </w:rPr>
            </w:pPr>
            <w:r w:rsidRPr="000321E0">
              <w:rPr>
                <w:rFonts w:asciiTheme="majorEastAsia" w:eastAsiaTheme="majorEastAsia" w:hAnsiTheme="majorEastAsia" w:hint="eastAsia"/>
                <w:b/>
                <w:sz w:val="28"/>
                <w:szCs w:val="28"/>
              </w:rPr>
              <w:t>收费标准</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1千元以下的部分</w:t>
            </w:r>
          </w:p>
        </w:tc>
        <w:tc>
          <w:tcPr>
            <w:tcW w:w="4261" w:type="dxa"/>
          </w:tcPr>
          <w:p w:rsidR="009719E6" w:rsidRPr="005753CD" w:rsidRDefault="00944005"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D10D27"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每件交纳2</w:t>
            </w:r>
            <w:bookmarkStart w:id="36" w:name="_GoBack"/>
            <w:bookmarkEnd w:id="36"/>
            <w:r w:rsidR="009719E6" w:rsidRPr="005753CD">
              <w:rPr>
                <w:rFonts w:asciiTheme="majorEastAsia" w:eastAsiaTheme="majorEastAsia" w:hAnsiTheme="majorEastAsia" w:hint="eastAsia"/>
                <w:sz w:val="28"/>
                <w:szCs w:val="28"/>
              </w:rPr>
              <w:t>0元</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超过1千元至5万元的部分</w:t>
            </w:r>
          </w:p>
        </w:tc>
        <w:tc>
          <w:tcPr>
            <w:tcW w:w="4261" w:type="dxa"/>
          </w:tcPr>
          <w:p w:rsidR="009719E6" w:rsidRPr="005753CD" w:rsidRDefault="00D10D27"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Pr="005753CD">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按2%交纳</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超过5万元至10万元的部分</w:t>
            </w:r>
          </w:p>
        </w:tc>
        <w:tc>
          <w:tcPr>
            <w:tcW w:w="4261" w:type="dxa"/>
          </w:tcPr>
          <w:p w:rsidR="009719E6" w:rsidRPr="005753CD" w:rsidRDefault="00D10D27"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Pr="005753CD">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按1.5%交纳</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超过10万元至20万元的部分</w:t>
            </w:r>
          </w:p>
        </w:tc>
        <w:tc>
          <w:tcPr>
            <w:tcW w:w="4261" w:type="dxa"/>
          </w:tcPr>
          <w:p w:rsidR="009719E6" w:rsidRPr="005753CD" w:rsidRDefault="00D10D27"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Pr="005753CD">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按1%交纳</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超过20万元至50万元的部分</w:t>
            </w:r>
          </w:p>
        </w:tc>
        <w:tc>
          <w:tcPr>
            <w:tcW w:w="4261" w:type="dxa"/>
          </w:tcPr>
          <w:p w:rsidR="009719E6" w:rsidRPr="005753CD" w:rsidRDefault="00D10D27"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Pr="005753CD">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按0.75%交纳</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超过50万元至100万元的部分</w:t>
            </w:r>
          </w:p>
        </w:tc>
        <w:tc>
          <w:tcPr>
            <w:tcW w:w="4261" w:type="dxa"/>
          </w:tcPr>
          <w:p w:rsidR="009719E6" w:rsidRPr="005753CD" w:rsidRDefault="00D10D27"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Pr="005753CD">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按0.5%交纳</w:t>
            </w:r>
          </w:p>
        </w:tc>
      </w:tr>
      <w:tr w:rsidR="009719E6" w:rsidRPr="000321E0" w:rsidTr="006A7585">
        <w:tc>
          <w:tcPr>
            <w:tcW w:w="4261" w:type="dxa"/>
          </w:tcPr>
          <w:p w:rsidR="009719E6" w:rsidRPr="005753CD" w:rsidRDefault="009719E6" w:rsidP="00817E93">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超过100万元以上的部分</w:t>
            </w:r>
          </w:p>
        </w:tc>
        <w:tc>
          <w:tcPr>
            <w:tcW w:w="4261" w:type="dxa"/>
          </w:tcPr>
          <w:p w:rsidR="009719E6" w:rsidRPr="005753CD" w:rsidRDefault="00D10D27" w:rsidP="00944005">
            <w:pPr>
              <w:jc w:val="left"/>
              <w:rPr>
                <w:rFonts w:asciiTheme="majorEastAsia" w:eastAsiaTheme="majorEastAsia" w:hAnsiTheme="majorEastAsia"/>
                <w:sz w:val="28"/>
                <w:szCs w:val="28"/>
              </w:rPr>
            </w:pPr>
            <w:r w:rsidRPr="005753CD">
              <w:rPr>
                <w:rFonts w:asciiTheme="majorEastAsia" w:eastAsiaTheme="majorEastAsia" w:hAnsiTheme="majorEastAsia" w:hint="eastAsia"/>
                <w:sz w:val="28"/>
                <w:szCs w:val="28"/>
              </w:rPr>
              <w:t xml:space="preserve">    </w:t>
            </w:r>
            <w:r w:rsidR="00C07D6F">
              <w:rPr>
                <w:rFonts w:asciiTheme="majorEastAsia" w:eastAsiaTheme="majorEastAsia" w:hAnsiTheme="majorEastAsia" w:hint="eastAsia"/>
                <w:sz w:val="28"/>
                <w:szCs w:val="28"/>
              </w:rPr>
              <w:t xml:space="preserve"> </w:t>
            </w:r>
            <w:r w:rsidRPr="005753CD">
              <w:rPr>
                <w:rFonts w:asciiTheme="majorEastAsia" w:eastAsiaTheme="majorEastAsia" w:hAnsiTheme="majorEastAsia" w:hint="eastAsia"/>
                <w:sz w:val="28"/>
                <w:szCs w:val="28"/>
              </w:rPr>
              <w:t xml:space="preserve">   </w:t>
            </w:r>
            <w:r w:rsidR="009719E6" w:rsidRPr="005753CD">
              <w:rPr>
                <w:rFonts w:asciiTheme="majorEastAsia" w:eastAsiaTheme="majorEastAsia" w:hAnsiTheme="majorEastAsia" w:hint="eastAsia"/>
                <w:sz w:val="28"/>
                <w:szCs w:val="28"/>
              </w:rPr>
              <w:t>按0.25%交纳</w:t>
            </w:r>
          </w:p>
        </w:tc>
      </w:tr>
    </w:tbl>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p w:rsidR="003B6206" w:rsidRPr="000321E0" w:rsidRDefault="003B6206">
      <w:pPr>
        <w:rPr>
          <w:rFonts w:asciiTheme="majorEastAsia" w:eastAsiaTheme="majorEastAsia" w:hAnsiTheme="majorEastAsia"/>
        </w:rPr>
      </w:pPr>
    </w:p>
    <w:sectPr w:rsidR="003B6206" w:rsidRPr="000321E0" w:rsidSect="00DA440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03" w:rsidRDefault="00680F03" w:rsidP="00F35701">
      <w:r>
        <w:separator/>
      </w:r>
    </w:p>
  </w:endnote>
  <w:endnote w:type="continuationSeparator" w:id="1">
    <w:p w:rsidR="00680F03" w:rsidRDefault="00680F03" w:rsidP="00F35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1003"/>
      <w:docPartObj>
        <w:docPartGallery w:val="Page Numbers (Bottom of Page)"/>
        <w:docPartUnique/>
      </w:docPartObj>
    </w:sdtPr>
    <w:sdtContent>
      <w:p w:rsidR="000C1CC4" w:rsidRDefault="00451F23">
        <w:pPr>
          <w:pStyle w:val="a4"/>
          <w:jc w:val="center"/>
        </w:pPr>
        <w:fldSimple w:instr=" PAGE   \* MERGEFORMAT ">
          <w:r w:rsidR="009415BA" w:rsidRPr="009415BA">
            <w:rPr>
              <w:noProof/>
              <w:lang w:val="zh-CN"/>
            </w:rPr>
            <w:t>2</w:t>
          </w:r>
        </w:fldSimple>
      </w:p>
    </w:sdtContent>
  </w:sdt>
  <w:p w:rsidR="000C1CC4" w:rsidRDefault="000C1C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03" w:rsidRDefault="00680F03" w:rsidP="00F35701">
      <w:r>
        <w:separator/>
      </w:r>
    </w:p>
  </w:footnote>
  <w:footnote w:type="continuationSeparator" w:id="1">
    <w:p w:rsidR="00680F03" w:rsidRDefault="00680F03" w:rsidP="00F35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1865"/>
    <w:rsid w:val="00004006"/>
    <w:rsid w:val="00007C09"/>
    <w:rsid w:val="000321E0"/>
    <w:rsid w:val="000449C6"/>
    <w:rsid w:val="00056F5D"/>
    <w:rsid w:val="000658DD"/>
    <w:rsid w:val="00071AE3"/>
    <w:rsid w:val="00080B52"/>
    <w:rsid w:val="000A1951"/>
    <w:rsid w:val="000A43DF"/>
    <w:rsid w:val="000B2C4C"/>
    <w:rsid w:val="000B6E33"/>
    <w:rsid w:val="000B7792"/>
    <w:rsid w:val="000C1CC4"/>
    <w:rsid w:val="000C3E8F"/>
    <w:rsid w:val="000E1BEE"/>
    <w:rsid w:val="001015D7"/>
    <w:rsid w:val="00103E85"/>
    <w:rsid w:val="00104F5B"/>
    <w:rsid w:val="0011434E"/>
    <w:rsid w:val="001144A0"/>
    <w:rsid w:val="00130831"/>
    <w:rsid w:val="00132A1D"/>
    <w:rsid w:val="00143565"/>
    <w:rsid w:val="0015338F"/>
    <w:rsid w:val="001618AF"/>
    <w:rsid w:val="00166183"/>
    <w:rsid w:val="00170F0C"/>
    <w:rsid w:val="001720FA"/>
    <w:rsid w:val="00172393"/>
    <w:rsid w:val="001725B3"/>
    <w:rsid w:val="0017483A"/>
    <w:rsid w:val="00192713"/>
    <w:rsid w:val="001B28BE"/>
    <w:rsid w:val="001B4F77"/>
    <w:rsid w:val="001B57CB"/>
    <w:rsid w:val="001C4608"/>
    <w:rsid w:val="001E46F9"/>
    <w:rsid w:val="001E4FEA"/>
    <w:rsid w:val="001F4C88"/>
    <w:rsid w:val="00215114"/>
    <w:rsid w:val="00224700"/>
    <w:rsid w:val="00227B1D"/>
    <w:rsid w:val="00241816"/>
    <w:rsid w:val="00253539"/>
    <w:rsid w:val="00254040"/>
    <w:rsid w:val="00255E7C"/>
    <w:rsid w:val="002571D6"/>
    <w:rsid w:val="0028211A"/>
    <w:rsid w:val="0028516C"/>
    <w:rsid w:val="00286E2F"/>
    <w:rsid w:val="00293378"/>
    <w:rsid w:val="0029671E"/>
    <w:rsid w:val="002A0863"/>
    <w:rsid w:val="002A2EB3"/>
    <w:rsid w:val="002A3F07"/>
    <w:rsid w:val="002B046E"/>
    <w:rsid w:val="002B3CBE"/>
    <w:rsid w:val="002C5246"/>
    <w:rsid w:val="002E1A71"/>
    <w:rsid w:val="002E27B2"/>
    <w:rsid w:val="002E3DED"/>
    <w:rsid w:val="003031EB"/>
    <w:rsid w:val="003032C1"/>
    <w:rsid w:val="0030582F"/>
    <w:rsid w:val="00306827"/>
    <w:rsid w:val="00321CF4"/>
    <w:rsid w:val="003256FD"/>
    <w:rsid w:val="00326BDE"/>
    <w:rsid w:val="00333744"/>
    <w:rsid w:val="00333BDE"/>
    <w:rsid w:val="00333F12"/>
    <w:rsid w:val="00336D46"/>
    <w:rsid w:val="00337F01"/>
    <w:rsid w:val="00342FB0"/>
    <w:rsid w:val="003440D1"/>
    <w:rsid w:val="00351131"/>
    <w:rsid w:val="003635A3"/>
    <w:rsid w:val="0036635A"/>
    <w:rsid w:val="003800B8"/>
    <w:rsid w:val="003872AF"/>
    <w:rsid w:val="0039655A"/>
    <w:rsid w:val="003B2637"/>
    <w:rsid w:val="003B6206"/>
    <w:rsid w:val="003B7351"/>
    <w:rsid w:val="003C2F0D"/>
    <w:rsid w:val="003D31F4"/>
    <w:rsid w:val="003E0BE7"/>
    <w:rsid w:val="003E50AB"/>
    <w:rsid w:val="003E5895"/>
    <w:rsid w:val="003F2046"/>
    <w:rsid w:val="003F41AA"/>
    <w:rsid w:val="003F47DF"/>
    <w:rsid w:val="0040350E"/>
    <w:rsid w:val="0041664A"/>
    <w:rsid w:val="00430152"/>
    <w:rsid w:val="00430497"/>
    <w:rsid w:val="00430BB7"/>
    <w:rsid w:val="00434E48"/>
    <w:rsid w:val="00451F23"/>
    <w:rsid w:val="0049600B"/>
    <w:rsid w:val="004B60D8"/>
    <w:rsid w:val="004C2BBB"/>
    <w:rsid w:val="004C35F3"/>
    <w:rsid w:val="004C5199"/>
    <w:rsid w:val="004D05F9"/>
    <w:rsid w:val="004D06DF"/>
    <w:rsid w:val="004F0C76"/>
    <w:rsid w:val="004F3D2A"/>
    <w:rsid w:val="004F56AC"/>
    <w:rsid w:val="00501C5F"/>
    <w:rsid w:val="00504940"/>
    <w:rsid w:val="005065AE"/>
    <w:rsid w:val="005103DB"/>
    <w:rsid w:val="0051472B"/>
    <w:rsid w:val="005179DE"/>
    <w:rsid w:val="00526E83"/>
    <w:rsid w:val="00533E3B"/>
    <w:rsid w:val="0054102D"/>
    <w:rsid w:val="0054309C"/>
    <w:rsid w:val="00543BEF"/>
    <w:rsid w:val="005753CD"/>
    <w:rsid w:val="00582023"/>
    <w:rsid w:val="005A210C"/>
    <w:rsid w:val="005A4894"/>
    <w:rsid w:val="005B7CEE"/>
    <w:rsid w:val="005C33F3"/>
    <w:rsid w:val="005C553C"/>
    <w:rsid w:val="005C62F5"/>
    <w:rsid w:val="005D7D42"/>
    <w:rsid w:val="006044DA"/>
    <w:rsid w:val="00607889"/>
    <w:rsid w:val="00612689"/>
    <w:rsid w:val="00613167"/>
    <w:rsid w:val="0061535C"/>
    <w:rsid w:val="00625897"/>
    <w:rsid w:val="00631749"/>
    <w:rsid w:val="00632A66"/>
    <w:rsid w:val="00643E30"/>
    <w:rsid w:val="00646FAC"/>
    <w:rsid w:val="006476DA"/>
    <w:rsid w:val="00667093"/>
    <w:rsid w:val="006676E3"/>
    <w:rsid w:val="0066780C"/>
    <w:rsid w:val="006714C6"/>
    <w:rsid w:val="00674DF1"/>
    <w:rsid w:val="006764B4"/>
    <w:rsid w:val="00680F03"/>
    <w:rsid w:val="00690D3B"/>
    <w:rsid w:val="006A7585"/>
    <w:rsid w:val="006C0A76"/>
    <w:rsid w:val="006E46CB"/>
    <w:rsid w:val="006F174D"/>
    <w:rsid w:val="0070058A"/>
    <w:rsid w:val="00704BAB"/>
    <w:rsid w:val="00711310"/>
    <w:rsid w:val="007142AA"/>
    <w:rsid w:val="007154DD"/>
    <w:rsid w:val="00731C56"/>
    <w:rsid w:val="00733BD6"/>
    <w:rsid w:val="00734119"/>
    <w:rsid w:val="00741698"/>
    <w:rsid w:val="00743B6E"/>
    <w:rsid w:val="00767F2D"/>
    <w:rsid w:val="00772980"/>
    <w:rsid w:val="00780DE5"/>
    <w:rsid w:val="00781501"/>
    <w:rsid w:val="00785151"/>
    <w:rsid w:val="0078763F"/>
    <w:rsid w:val="007A6713"/>
    <w:rsid w:val="007B6761"/>
    <w:rsid w:val="007C5D5C"/>
    <w:rsid w:val="007D08B4"/>
    <w:rsid w:val="007D4878"/>
    <w:rsid w:val="007E2EDA"/>
    <w:rsid w:val="007F08C9"/>
    <w:rsid w:val="007F164A"/>
    <w:rsid w:val="0081786C"/>
    <w:rsid w:val="00817E93"/>
    <w:rsid w:val="00820199"/>
    <w:rsid w:val="008419C5"/>
    <w:rsid w:val="00843EEC"/>
    <w:rsid w:val="0084494D"/>
    <w:rsid w:val="00853C4E"/>
    <w:rsid w:val="00861A95"/>
    <w:rsid w:val="008625FD"/>
    <w:rsid w:val="00870434"/>
    <w:rsid w:val="00882D7D"/>
    <w:rsid w:val="00893C5E"/>
    <w:rsid w:val="008A317E"/>
    <w:rsid w:val="008C2668"/>
    <w:rsid w:val="008E76F0"/>
    <w:rsid w:val="008F0BEE"/>
    <w:rsid w:val="008F109C"/>
    <w:rsid w:val="009013EF"/>
    <w:rsid w:val="0091281F"/>
    <w:rsid w:val="00937C5F"/>
    <w:rsid w:val="009415BA"/>
    <w:rsid w:val="00944005"/>
    <w:rsid w:val="00945DD0"/>
    <w:rsid w:val="009517ED"/>
    <w:rsid w:val="00956D0F"/>
    <w:rsid w:val="00967A34"/>
    <w:rsid w:val="00967B3D"/>
    <w:rsid w:val="009719E6"/>
    <w:rsid w:val="009C13F8"/>
    <w:rsid w:val="009C16C6"/>
    <w:rsid w:val="009C3C49"/>
    <w:rsid w:val="009C6DEF"/>
    <w:rsid w:val="009D00B9"/>
    <w:rsid w:val="009D56FB"/>
    <w:rsid w:val="009E226F"/>
    <w:rsid w:val="009E4544"/>
    <w:rsid w:val="009F0DC8"/>
    <w:rsid w:val="00A01DD4"/>
    <w:rsid w:val="00A04760"/>
    <w:rsid w:val="00A10740"/>
    <w:rsid w:val="00A17E4F"/>
    <w:rsid w:val="00A23661"/>
    <w:rsid w:val="00A24914"/>
    <w:rsid w:val="00A255E0"/>
    <w:rsid w:val="00A316AE"/>
    <w:rsid w:val="00A40E8D"/>
    <w:rsid w:val="00A4236B"/>
    <w:rsid w:val="00A44DC3"/>
    <w:rsid w:val="00A46C1C"/>
    <w:rsid w:val="00A71EB3"/>
    <w:rsid w:val="00A81F09"/>
    <w:rsid w:val="00A83A1E"/>
    <w:rsid w:val="00A91928"/>
    <w:rsid w:val="00A97E82"/>
    <w:rsid w:val="00AA006C"/>
    <w:rsid w:val="00AA7F55"/>
    <w:rsid w:val="00AB1F88"/>
    <w:rsid w:val="00AB2A67"/>
    <w:rsid w:val="00AB53FD"/>
    <w:rsid w:val="00AB7B33"/>
    <w:rsid w:val="00AC338C"/>
    <w:rsid w:val="00AD0802"/>
    <w:rsid w:val="00AD67FD"/>
    <w:rsid w:val="00AD6928"/>
    <w:rsid w:val="00AE2A69"/>
    <w:rsid w:val="00AF0DA3"/>
    <w:rsid w:val="00AF7910"/>
    <w:rsid w:val="00B061FD"/>
    <w:rsid w:val="00B126DE"/>
    <w:rsid w:val="00B141FE"/>
    <w:rsid w:val="00B22CBB"/>
    <w:rsid w:val="00B26CFA"/>
    <w:rsid w:val="00B30A91"/>
    <w:rsid w:val="00B31865"/>
    <w:rsid w:val="00B318FB"/>
    <w:rsid w:val="00B372AB"/>
    <w:rsid w:val="00B54F4A"/>
    <w:rsid w:val="00B57C88"/>
    <w:rsid w:val="00B61387"/>
    <w:rsid w:val="00B64290"/>
    <w:rsid w:val="00B651F7"/>
    <w:rsid w:val="00B70CA0"/>
    <w:rsid w:val="00B71F7B"/>
    <w:rsid w:val="00B94B24"/>
    <w:rsid w:val="00B96DFD"/>
    <w:rsid w:val="00BA0836"/>
    <w:rsid w:val="00BA7860"/>
    <w:rsid w:val="00BB4FE6"/>
    <w:rsid w:val="00BC4282"/>
    <w:rsid w:val="00BD3566"/>
    <w:rsid w:val="00BE23AF"/>
    <w:rsid w:val="00BE2A50"/>
    <w:rsid w:val="00C0127B"/>
    <w:rsid w:val="00C07D6F"/>
    <w:rsid w:val="00C14CEB"/>
    <w:rsid w:val="00C159C8"/>
    <w:rsid w:val="00C216A8"/>
    <w:rsid w:val="00C21E8B"/>
    <w:rsid w:val="00C46676"/>
    <w:rsid w:val="00C6242B"/>
    <w:rsid w:val="00C635A5"/>
    <w:rsid w:val="00CE23CD"/>
    <w:rsid w:val="00CE7C6E"/>
    <w:rsid w:val="00CF2711"/>
    <w:rsid w:val="00CF3530"/>
    <w:rsid w:val="00D02354"/>
    <w:rsid w:val="00D05EF0"/>
    <w:rsid w:val="00D10D27"/>
    <w:rsid w:val="00D22739"/>
    <w:rsid w:val="00D27D2C"/>
    <w:rsid w:val="00D32F9B"/>
    <w:rsid w:val="00D36ECE"/>
    <w:rsid w:val="00D40F7B"/>
    <w:rsid w:val="00D41BCC"/>
    <w:rsid w:val="00D47449"/>
    <w:rsid w:val="00D5779A"/>
    <w:rsid w:val="00D6536C"/>
    <w:rsid w:val="00D71FB1"/>
    <w:rsid w:val="00D75891"/>
    <w:rsid w:val="00D7620A"/>
    <w:rsid w:val="00D8080D"/>
    <w:rsid w:val="00D8291B"/>
    <w:rsid w:val="00D85616"/>
    <w:rsid w:val="00D86115"/>
    <w:rsid w:val="00D93795"/>
    <w:rsid w:val="00D96192"/>
    <w:rsid w:val="00DA107B"/>
    <w:rsid w:val="00DA1239"/>
    <w:rsid w:val="00DA4404"/>
    <w:rsid w:val="00DA54FD"/>
    <w:rsid w:val="00DB32DB"/>
    <w:rsid w:val="00DC0D45"/>
    <w:rsid w:val="00DC1CBB"/>
    <w:rsid w:val="00DD5D75"/>
    <w:rsid w:val="00DD764F"/>
    <w:rsid w:val="00DE1277"/>
    <w:rsid w:val="00DE2FE0"/>
    <w:rsid w:val="00DE3B72"/>
    <w:rsid w:val="00DF0A5D"/>
    <w:rsid w:val="00DF1AEB"/>
    <w:rsid w:val="00E01D42"/>
    <w:rsid w:val="00E1129A"/>
    <w:rsid w:val="00E14007"/>
    <w:rsid w:val="00E1551C"/>
    <w:rsid w:val="00E2263F"/>
    <w:rsid w:val="00E31873"/>
    <w:rsid w:val="00E67E72"/>
    <w:rsid w:val="00E736EF"/>
    <w:rsid w:val="00E746E6"/>
    <w:rsid w:val="00E747B6"/>
    <w:rsid w:val="00E77253"/>
    <w:rsid w:val="00E77916"/>
    <w:rsid w:val="00E815BA"/>
    <w:rsid w:val="00E852DA"/>
    <w:rsid w:val="00E85B31"/>
    <w:rsid w:val="00E93183"/>
    <w:rsid w:val="00E972EC"/>
    <w:rsid w:val="00EA05D3"/>
    <w:rsid w:val="00EB118C"/>
    <w:rsid w:val="00EB4B1F"/>
    <w:rsid w:val="00EC1676"/>
    <w:rsid w:val="00EC4F35"/>
    <w:rsid w:val="00ED11B1"/>
    <w:rsid w:val="00EE1AB6"/>
    <w:rsid w:val="00F00BA2"/>
    <w:rsid w:val="00F02B4B"/>
    <w:rsid w:val="00F062AF"/>
    <w:rsid w:val="00F10E84"/>
    <w:rsid w:val="00F11E50"/>
    <w:rsid w:val="00F146AC"/>
    <w:rsid w:val="00F35701"/>
    <w:rsid w:val="00F660DF"/>
    <w:rsid w:val="00F67BC8"/>
    <w:rsid w:val="00FA507A"/>
    <w:rsid w:val="00FB33A5"/>
    <w:rsid w:val="00FB3B64"/>
    <w:rsid w:val="00FC175B"/>
    <w:rsid w:val="00FC2CFE"/>
    <w:rsid w:val="00FC79A6"/>
    <w:rsid w:val="00FD182A"/>
    <w:rsid w:val="00FD3F68"/>
    <w:rsid w:val="00FD7121"/>
    <w:rsid w:val="00FE1D93"/>
    <w:rsid w:val="126E6F40"/>
    <w:rsid w:val="15FD6F1C"/>
    <w:rsid w:val="169C5B12"/>
    <w:rsid w:val="21BD1485"/>
    <w:rsid w:val="24977CB6"/>
    <w:rsid w:val="2FD550CE"/>
    <w:rsid w:val="3052306B"/>
    <w:rsid w:val="32847D14"/>
    <w:rsid w:val="331E7485"/>
    <w:rsid w:val="33743920"/>
    <w:rsid w:val="3A5A5A21"/>
    <w:rsid w:val="410B43E0"/>
    <w:rsid w:val="425218E5"/>
    <w:rsid w:val="431A5D02"/>
    <w:rsid w:val="4F9F7472"/>
    <w:rsid w:val="54744922"/>
    <w:rsid w:val="59FB6781"/>
    <w:rsid w:val="68751BA4"/>
    <w:rsid w:val="6B566074"/>
    <w:rsid w:val="6B813CDC"/>
    <w:rsid w:val="780F3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06"/>
    <w:pPr>
      <w:widowControl w:val="0"/>
      <w:jc w:val="both"/>
    </w:pPr>
    <w:rPr>
      <w:kern w:val="2"/>
      <w:sz w:val="21"/>
      <w:szCs w:val="22"/>
    </w:rPr>
  </w:style>
  <w:style w:type="paragraph" w:styleId="1">
    <w:name w:val="heading 1"/>
    <w:basedOn w:val="a"/>
    <w:next w:val="a"/>
    <w:link w:val="1Char"/>
    <w:uiPriority w:val="9"/>
    <w:qFormat/>
    <w:rsid w:val="003B62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B62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3B6206"/>
    <w:pPr>
      <w:widowControl/>
      <w:spacing w:after="100" w:line="276" w:lineRule="auto"/>
      <w:ind w:left="440"/>
      <w:jc w:val="left"/>
    </w:pPr>
    <w:rPr>
      <w:kern w:val="0"/>
      <w:sz w:val="22"/>
    </w:rPr>
  </w:style>
  <w:style w:type="paragraph" w:styleId="a3">
    <w:name w:val="Balloon Text"/>
    <w:basedOn w:val="a"/>
    <w:link w:val="Char"/>
    <w:uiPriority w:val="99"/>
    <w:semiHidden/>
    <w:unhideWhenUsed/>
    <w:qFormat/>
    <w:rsid w:val="003B6206"/>
    <w:rPr>
      <w:sz w:val="18"/>
      <w:szCs w:val="18"/>
    </w:rPr>
  </w:style>
  <w:style w:type="paragraph" w:styleId="a4">
    <w:name w:val="footer"/>
    <w:basedOn w:val="a"/>
    <w:link w:val="Char0"/>
    <w:uiPriority w:val="99"/>
    <w:unhideWhenUsed/>
    <w:qFormat/>
    <w:rsid w:val="003B620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B62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B6206"/>
    <w:pPr>
      <w:widowControl/>
      <w:spacing w:after="100" w:line="276" w:lineRule="auto"/>
      <w:jc w:val="left"/>
    </w:pPr>
    <w:rPr>
      <w:kern w:val="0"/>
      <w:sz w:val="22"/>
    </w:rPr>
  </w:style>
  <w:style w:type="paragraph" w:styleId="20">
    <w:name w:val="toc 2"/>
    <w:basedOn w:val="a"/>
    <w:next w:val="a"/>
    <w:uiPriority w:val="39"/>
    <w:unhideWhenUsed/>
    <w:qFormat/>
    <w:rsid w:val="003B6206"/>
    <w:pPr>
      <w:widowControl/>
      <w:spacing w:after="100" w:line="276" w:lineRule="auto"/>
      <w:ind w:left="220"/>
      <w:jc w:val="left"/>
    </w:pPr>
    <w:rPr>
      <w:kern w:val="0"/>
      <w:sz w:val="22"/>
    </w:rPr>
  </w:style>
  <w:style w:type="character" w:styleId="a6">
    <w:name w:val="Hyperlink"/>
    <w:basedOn w:val="a0"/>
    <w:uiPriority w:val="99"/>
    <w:unhideWhenUsed/>
    <w:rsid w:val="003B6206"/>
    <w:rPr>
      <w:color w:val="0000FF" w:themeColor="hyperlink"/>
      <w:u w:val="single"/>
    </w:rPr>
  </w:style>
  <w:style w:type="table" w:styleId="a7">
    <w:name w:val="Table Grid"/>
    <w:basedOn w:val="a1"/>
    <w:uiPriority w:val="59"/>
    <w:rsid w:val="003B62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rsid w:val="003B6206"/>
    <w:rPr>
      <w:sz w:val="18"/>
      <w:szCs w:val="18"/>
    </w:rPr>
  </w:style>
  <w:style w:type="character" w:customStyle="1" w:styleId="Char0">
    <w:name w:val="页脚 Char"/>
    <w:basedOn w:val="a0"/>
    <w:link w:val="a4"/>
    <w:uiPriority w:val="99"/>
    <w:rsid w:val="003B6206"/>
    <w:rPr>
      <w:sz w:val="18"/>
      <w:szCs w:val="18"/>
    </w:rPr>
  </w:style>
  <w:style w:type="character" w:customStyle="1" w:styleId="1Char">
    <w:name w:val="标题 1 Char"/>
    <w:basedOn w:val="a0"/>
    <w:link w:val="1"/>
    <w:uiPriority w:val="9"/>
    <w:rsid w:val="003B6206"/>
    <w:rPr>
      <w:b/>
      <w:bCs/>
      <w:kern w:val="44"/>
      <w:sz w:val="44"/>
      <w:szCs w:val="44"/>
    </w:rPr>
  </w:style>
  <w:style w:type="character" w:customStyle="1" w:styleId="2Char">
    <w:name w:val="标题 2 Char"/>
    <w:basedOn w:val="a0"/>
    <w:link w:val="2"/>
    <w:uiPriority w:val="9"/>
    <w:qFormat/>
    <w:rsid w:val="003B6206"/>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3B62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3B6206"/>
    <w:rPr>
      <w:sz w:val="18"/>
      <w:szCs w:val="18"/>
    </w:rPr>
  </w:style>
  <w:style w:type="paragraph" w:styleId="a8">
    <w:name w:val="List Paragraph"/>
    <w:basedOn w:val="a"/>
    <w:uiPriority w:val="34"/>
    <w:qFormat/>
    <w:rsid w:val="003B62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108F2-C2C4-4568-B82A-371793E0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1227</Words>
  <Characters>6997</Characters>
  <Application>Microsoft Office Word</Application>
  <DocSecurity>0</DocSecurity>
  <Lines>58</Lines>
  <Paragraphs>16</Paragraphs>
  <ScaleCrop>false</ScaleCrop>
  <Company>nbac</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nbac</cp:lastModifiedBy>
  <cp:revision>18</cp:revision>
  <cp:lastPrinted>2018-11-29T06:26:00Z</cp:lastPrinted>
  <dcterms:created xsi:type="dcterms:W3CDTF">2018-04-09T07:20:00Z</dcterms:created>
  <dcterms:modified xsi:type="dcterms:W3CDTF">2018-11-30T02:05:00Z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